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D8A56" w14:textId="77777777" w:rsidR="00277863" w:rsidRDefault="00277863" w:rsidP="0054209E">
      <w:pPr>
        <w:pStyle w:val="BodyText31"/>
        <w:spacing w:before="120"/>
        <w:jc w:val="left"/>
        <w:rPr>
          <w:rFonts w:asciiTheme="majorHAnsi" w:hAnsiTheme="majorHAnsi"/>
          <w:b/>
          <w:caps/>
          <w:sz w:val="40"/>
          <w:szCs w:val="44"/>
        </w:rPr>
      </w:pPr>
    </w:p>
    <w:p w14:paraId="2107D42C" w14:textId="66F0258D"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23B06DF2" w:rsidR="0054209E" w:rsidRPr="00277863" w:rsidRDefault="00277863" w:rsidP="0054209E">
      <w:pPr>
        <w:pStyle w:val="Titul2"/>
        <w:rPr>
          <w:szCs w:val="28"/>
        </w:rPr>
      </w:pPr>
      <w:r w:rsidRPr="00277863">
        <w:rPr>
          <w:rFonts w:ascii="Verdana" w:hAnsi="Verdana"/>
          <w:szCs w:val="28"/>
        </w:rPr>
        <w:t>„</w:t>
      </w:r>
      <w:r w:rsidRPr="00277863">
        <w:rPr>
          <w:rFonts w:ascii="Verdana" w:hAnsi="Verdana"/>
          <w:szCs w:val="28"/>
          <w:lang w:eastAsia="cs-CZ"/>
        </w:rPr>
        <w:t>Nákup xerografického papíru pro OŘ Praha</w:t>
      </w:r>
      <w:r w:rsidRPr="00277863">
        <w:rPr>
          <w:rFonts w:ascii="Verdana" w:hAnsi="Verdana"/>
          <w:szCs w:val="28"/>
        </w:rPr>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A06D1A">
      <w:pPr>
        <w:pStyle w:val="Odstavecseseznamem"/>
        <w:numPr>
          <w:ilvl w:val="1"/>
          <w:numId w:val="5"/>
        </w:numPr>
        <w:ind w:left="1134" w:hanging="708"/>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A06D1A">
      <w:pPr>
        <w:pStyle w:val="Odstavecseseznamem"/>
        <w:ind w:left="1134"/>
        <w:rPr>
          <w:noProof/>
        </w:rPr>
      </w:pPr>
      <w:r w:rsidRPr="00286820">
        <w:rPr>
          <w:noProof/>
        </w:rPr>
        <w:t>se sídlem: Praha 1 – Nové Město, Dlážděná 1003/7, PSČ 110 00</w:t>
      </w:r>
    </w:p>
    <w:p w14:paraId="1A12FDD0" w14:textId="77777777" w:rsidR="0054209E" w:rsidRPr="00286820" w:rsidRDefault="0054209E" w:rsidP="00A06D1A">
      <w:pPr>
        <w:pStyle w:val="Odstavecseseznamem"/>
        <w:ind w:left="1134"/>
        <w:rPr>
          <w:noProof/>
        </w:rPr>
      </w:pPr>
      <w:r w:rsidRPr="00286820">
        <w:rPr>
          <w:noProof/>
        </w:rPr>
        <w:t>IČ: 70994234, DIČ: CZ70994234</w:t>
      </w:r>
    </w:p>
    <w:p w14:paraId="659FDEAA" w14:textId="77777777" w:rsidR="0054209E" w:rsidRPr="00286820" w:rsidRDefault="0054209E" w:rsidP="00A06D1A">
      <w:pPr>
        <w:pStyle w:val="Odstavecseseznamem"/>
        <w:ind w:left="1134"/>
        <w:rPr>
          <w:noProof/>
        </w:rPr>
      </w:pPr>
      <w:r w:rsidRPr="00286820">
        <w:rPr>
          <w:noProof/>
        </w:rPr>
        <w:t>zapsána v obchodním rejstříku vedeném Městským soudem v Praze, oddíl A, vložka 48384</w:t>
      </w:r>
    </w:p>
    <w:p w14:paraId="412E1240" w14:textId="46128744" w:rsidR="0054209E" w:rsidRPr="00286820" w:rsidRDefault="0054209E" w:rsidP="00A06D1A">
      <w:pPr>
        <w:pStyle w:val="Odstavecseseznamem"/>
        <w:ind w:left="1134"/>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A06D1A">
      <w:pPr>
        <w:ind w:left="1134"/>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A06D1A">
      <w:pPr>
        <w:pStyle w:val="Odstavecseseznamem"/>
        <w:ind w:left="1134"/>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A06D1A">
      <w:pPr>
        <w:pStyle w:val="Odstavecseseznamem"/>
        <w:ind w:left="1134"/>
        <w:rPr>
          <w:noProof/>
        </w:rPr>
      </w:pPr>
      <w:r>
        <w:rPr>
          <w:noProof/>
        </w:rPr>
        <w:t>Správa železnic</w:t>
      </w:r>
      <w:r w:rsidRPr="00286820">
        <w:rPr>
          <w:noProof/>
        </w:rPr>
        <w:t>, státní organizace</w:t>
      </w:r>
    </w:p>
    <w:p w14:paraId="6DB1450B" w14:textId="77777777" w:rsidR="0054209E" w:rsidRPr="00286820" w:rsidRDefault="0054209E" w:rsidP="00A06D1A">
      <w:pPr>
        <w:pStyle w:val="Odstavecseseznamem"/>
        <w:ind w:left="1134"/>
        <w:rPr>
          <w:noProof/>
        </w:rPr>
      </w:pPr>
      <w:r w:rsidRPr="00286820">
        <w:rPr>
          <w:noProof/>
        </w:rPr>
        <w:t>Oblastní ředitelství Praha</w:t>
      </w:r>
    </w:p>
    <w:p w14:paraId="44B2A118" w14:textId="77777777" w:rsidR="0054209E" w:rsidRDefault="0054209E" w:rsidP="00A06D1A">
      <w:pPr>
        <w:pStyle w:val="Odstavecseseznamem"/>
        <w:ind w:left="1134"/>
        <w:contextualSpacing w:val="0"/>
        <w:rPr>
          <w:noProof/>
        </w:rPr>
      </w:pPr>
      <w:r w:rsidRPr="00286820">
        <w:rPr>
          <w:noProof/>
        </w:rPr>
        <w:t>Partyzánská 24, 170 00 Praha 7</w:t>
      </w:r>
    </w:p>
    <w:p w14:paraId="5250052C" w14:textId="138224EC" w:rsidR="0054209E" w:rsidRDefault="0054209E" w:rsidP="00A06D1A">
      <w:pPr>
        <w:pStyle w:val="Odstavecseseznamem"/>
        <w:spacing w:before="240"/>
        <w:ind w:left="1134"/>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A06D1A">
      <w:pPr>
        <w:pStyle w:val="Odstavecseseznamem"/>
        <w:numPr>
          <w:ilvl w:val="1"/>
          <w:numId w:val="5"/>
        </w:numPr>
        <w:ind w:left="1134" w:hanging="736"/>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A06D1A">
      <w:pPr>
        <w:pStyle w:val="Odstavecseseznamem"/>
        <w:ind w:left="1134"/>
        <w:rPr>
          <w:noProof/>
          <w:highlight w:val="yellow"/>
        </w:rPr>
      </w:pPr>
      <w:r w:rsidRPr="009F48B1">
        <w:rPr>
          <w:noProof/>
          <w:highlight w:val="yellow"/>
        </w:rPr>
        <w:t xml:space="preserve">se sídlem: "[VLOŽÍ PRODÁVAJÍCÍ]" </w:t>
      </w:r>
    </w:p>
    <w:p w14:paraId="3F2BE9D2" w14:textId="77777777" w:rsidR="0054209E" w:rsidRPr="009F48B1" w:rsidRDefault="0054209E" w:rsidP="00A06D1A">
      <w:pPr>
        <w:pStyle w:val="Odstavecseseznamem"/>
        <w:ind w:left="1134"/>
        <w:rPr>
          <w:noProof/>
          <w:highlight w:val="yellow"/>
        </w:rPr>
      </w:pPr>
      <w:r w:rsidRPr="009F48B1">
        <w:rPr>
          <w:noProof/>
          <w:highlight w:val="yellow"/>
        </w:rPr>
        <w:t>IČ: "[VLOŽÍ PRODÁVAJÍCÍ]" , DIČ: "[VLOŽÍ PRODÁVAJÍCÍ]"</w:t>
      </w:r>
    </w:p>
    <w:p w14:paraId="12B5EEAA" w14:textId="77777777" w:rsidR="0054209E" w:rsidRPr="009F48B1" w:rsidRDefault="0054209E" w:rsidP="00A06D1A">
      <w:pPr>
        <w:pStyle w:val="Odstavecseseznamem"/>
        <w:ind w:left="1134"/>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A06D1A">
      <w:pPr>
        <w:pStyle w:val="Odstavecseseznamem"/>
        <w:ind w:left="1134"/>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A06D1A">
      <w:pPr>
        <w:pStyle w:val="Odstavecseseznamem"/>
        <w:spacing w:before="120"/>
        <w:ind w:left="1134"/>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A06D1A">
      <w:pPr>
        <w:ind w:left="1134"/>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A06D1A">
      <w:pPr>
        <w:pStyle w:val="Odstavecseseznamem"/>
        <w:ind w:left="1134"/>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62945C25" w:rsidR="0054209E" w:rsidRDefault="0054209E" w:rsidP="00A06D1A">
      <w:pPr>
        <w:pStyle w:val="Odstavecseseznamem"/>
        <w:ind w:left="1134"/>
        <w:contextualSpacing w:val="0"/>
        <w:rPr>
          <w:noProof/>
        </w:rPr>
      </w:pPr>
      <w:r w:rsidRPr="009F48B1">
        <w:rPr>
          <w:noProof/>
          <w:highlight w:val="yellow"/>
        </w:rPr>
        <w:t>"[VLOŽÍ PRODÁVAJÍCÍ]"</w:t>
      </w:r>
    </w:p>
    <w:p w14:paraId="1740921C" w14:textId="77777777" w:rsidR="009971C9" w:rsidRPr="00E43BD1" w:rsidRDefault="009971C9" w:rsidP="009971C9">
      <w:pPr>
        <w:pStyle w:val="Odstavecseseznamem"/>
        <w:spacing w:before="240"/>
        <w:ind w:left="1077"/>
        <w:contextualSpacing w:val="0"/>
        <w:rPr>
          <w:b/>
          <w:noProof/>
        </w:rPr>
      </w:pPr>
      <w:r w:rsidRPr="00E43BD1">
        <w:rPr>
          <w:b/>
          <w:noProof/>
          <w:highlight w:val="yellow"/>
        </w:rPr>
        <w:t>č. smlouvy prodávajícího: "[VLOŽÍ PRODÁVAJÍCÍ]"</w:t>
      </w:r>
    </w:p>
    <w:p w14:paraId="2A67AA5E" w14:textId="55F40BA8" w:rsidR="009971C9" w:rsidRDefault="006325A9" w:rsidP="006325A9">
      <w:pPr>
        <w:pStyle w:val="Odstavecseseznamem"/>
        <w:numPr>
          <w:ilvl w:val="1"/>
          <w:numId w:val="5"/>
        </w:numPr>
        <w:tabs>
          <w:tab w:val="left" w:pos="1361"/>
        </w:tabs>
        <w:ind w:left="1134" w:hanging="708"/>
        <w:rPr>
          <w:rFonts w:eastAsia="Verdana" w:cs="Times New Roman"/>
          <w:noProof/>
        </w:rPr>
      </w:pPr>
      <w:r w:rsidRPr="00E43BD1">
        <w:rPr>
          <w:rFonts w:eastAsia="Verdana" w:cs="Times New Roman"/>
          <w:noProof/>
        </w:rPr>
        <w:t>Tato kupní smlouva (dále jen smlouva) se řídí českým právem. Případné spory z této smlouvy budou projednávány před místně a věcně příslušným soudem ČR.</w:t>
      </w:r>
    </w:p>
    <w:p w14:paraId="0E7002BA" w14:textId="77777777" w:rsidR="009971C9" w:rsidRDefault="009971C9">
      <w:pPr>
        <w:rPr>
          <w:rFonts w:eastAsia="Verdana" w:cs="Times New Roman"/>
          <w:noProof/>
        </w:rPr>
      </w:pPr>
      <w:r>
        <w:rPr>
          <w:rFonts w:eastAsia="Verdana" w:cs="Times New Roman"/>
          <w:noProof/>
        </w:rPr>
        <w:br w:type="page"/>
      </w:r>
    </w:p>
    <w:p w14:paraId="47C7B0AD" w14:textId="77777777" w:rsidR="0054209E" w:rsidRPr="00E43BD1" w:rsidRDefault="0054209E" w:rsidP="00564D10">
      <w:pPr>
        <w:pStyle w:val="Odstavecseseznamem"/>
        <w:numPr>
          <w:ilvl w:val="0"/>
          <w:numId w:val="5"/>
        </w:numPr>
        <w:spacing w:after="120"/>
        <w:contextualSpacing w:val="0"/>
        <w:rPr>
          <w:b/>
          <w:noProof/>
          <w:sz w:val="24"/>
          <w:szCs w:val="24"/>
        </w:rPr>
      </w:pPr>
      <w:r w:rsidRPr="00E43BD1">
        <w:rPr>
          <w:b/>
          <w:noProof/>
          <w:sz w:val="24"/>
          <w:szCs w:val="24"/>
        </w:rPr>
        <w:lastRenderedPageBreak/>
        <w:t>Výchozí podklady a předmět smlouvy</w:t>
      </w:r>
    </w:p>
    <w:p w14:paraId="52D1C945" w14:textId="77777777" w:rsidR="0054209E" w:rsidRPr="00E43BD1" w:rsidRDefault="0054209E" w:rsidP="006325A9">
      <w:pPr>
        <w:pStyle w:val="Odstavecseseznamem"/>
        <w:numPr>
          <w:ilvl w:val="1"/>
          <w:numId w:val="5"/>
        </w:numPr>
        <w:ind w:left="1134" w:hanging="708"/>
        <w:contextualSpacing w:val="0"/>
        <w:rPr>
          <w:noProof/>
        </w:rPr>
      </w:pPr>
      <w:r w:rsidRPr="00E43BD1">
        <w:rPr>
          <w:noProof/>
        </w:rPr>
        <w:t>Smlouva bude plněna v souladu se zněním následujících dokumentů (včetně jejich příloh):</w:t>
      </w:r>
    </w:p>
    <w:p w14:paraId="55232F89" w14:textId="5ECFC66A" w:rsidR="0054209E" w:rsidRPr="00E43BD1" w:rsidRDefault="0054209E" w:rsidP="006325A9">
      <w:pPr>
        <w:pStyle w:val="Odstavecseseznamem"/>
        <w:numPr>
          <w:ilvl w:val="2"/>
          <w:numId w:val="5"/>
        </w:numPr>
        <w:ind w:hanging="595"/>
        <w:rPr>
          <w:noProof/>
        </w:rPr>
      </w:pPr>
      <w:r w:rsidRPr="00E43BD1">
        <w:rPr>
          <w:noProof/>
        </w:rPr>
        <w:t>Výzva kupujícího k podání nabídky pod. č.</w:t>
      </w:r>
      <w:r w:rsidRPr="00FF0DC5">
        <w:rPr>
          <w:noProof/>
        </w:rPr>
        <w:t xml:space="preserve">j. </w:t>
      </w:r>
      <w:r w:rsidR="00277863" w:rsidRPr="00FF0DC5">
        <w:rPr>
          <w:rFonts w:cs="Helvetica"/>
          <w:bCs/>
          <w:shd w:val="clear" w:color="auto" w:fill="FFFFFF"/>
        </w:rPr>
        <w:t>1849/2023-SŽ-OŘ PHA-OVZ</w:t>
      </w:r>
      <w:r w:rsidR="0012326F" w:rsidRPr="00FF0DC5">
        <w:rPr>
          <w:noProof/>
        </w:rPr>
        <w:t xml:space="preserve"> </w:t>
      </w:r>
      <w:r w:rsidR="0012326F" w:rsidRPr="00A4311E">
        <w:rPr>
          <w:noProof/>
        </w:rPr>
        <w:t xml:space="preserve">ze dne </w:t>
      </w:r>
      <w:bookmarkStart w:id="0" w:name="_GoBack"/>
      <w:r w:rsidR="00665905" w:rsidRPr="00A4311E">
        <w:rPr>
          <w:noProof/>
        </w:rPr>
        <w:t>2</w:t>
      </w:r>
      <w:r w:rsidR="00665905">
        <w:rPr>
          <w:noProof/>
        </w:rPr>
        <w:t>3</w:t>
      </w:r>
      <w:bookmarkEnd w:id="0"/>
      <w:r w:rsidR="00A4311E">
        <w:rPr>
          <w:noProof/>
        </w:rPr>
        <w:t>.01.2023</w:t>
      </w:r>
      <w:r w:rsidR="00373009" w:rsidRPr="00E43BD1">
        <w:rPr>
          <w:noProof/>
        </w:rPr>
        <w:t>.</w:t>
      </w:r>
    </w:p>
    <w:p w14:paraId="4FFCFF53" w14:textId="1F1B23B5" w:rsidR="0054209E" w:rsidRPr="00E43BD1" w:rsidRDefault="0054209E" w:rsidP="006325A9">
      <w:pPr>
        <w:pStyle w:val="Odstavecseseznamem"/>
        <w:numPr>
          <w:ilvl w:val="2"/>
          <w:numId w:val="5"/>
        </w:numPr>
        <w:ind w:hanging="595"/>
        <w:rPr>
          <w:noProof/>
        </w:rPr>
      </w:pPr>
      <w:r w:rsidRPr="00E43BD1">
        <w:rPr>
          <w:noProof/>
        </w:rPr>
        <w:t xml:space="preserve">Nabídka prodávajícího ze dne </w:t>
      </w:r>
      <w:r w:rsidRPr="00E43BD1">
        <w:rPr>
          <w:noProof/>
          <w:highlight w:val="green"/>
        </w:rPr>
        <w:t>………………</w:t>
      </w:r>
      <w:r w:rsidR="00190516" w:rsidRPr="00E43BD1">
        <w:rPr>
          <w:noProof/>
        </w:rPr>
        <w:t>,</w:t>
      </w:r>
      <w:r w:rsidR="004777B7" w:rsidRPr="00E43BD1">
        <w:rPr>
          <w:noProof/>
        </w:rPr>
        <w:t xml:space="preserve"> </w:t>
      </w:r>
      <w:r w:rsidR="00190516" w:rsidRPr="00E43BD1">
        <w:rPr>
          <w:noProof/>
        </w:rPr>
        <w:t>která byla kupujícím přijata</w:t>
      </w:r>
      <w:r w:rsidR="004777B7" w:rsidRPr="00E43BD1">
        <w:rPr>
          <w:noProof/>
        </w:rPr>
        <w:t xml:space="preserve"> </w:t>
      </w:r>
      <w:r w:rsidR="00190516" w:rsidRPr="00E43BD1">
        <w:rPr>
          <w:noProof/>
        </w:rPr>
        <w:t>o</w:t>
      </w:r>
      <w:r w:rsidRPr="00E43BD1">
        <w:rPr>
          <w:noProof/>
        </w:rPr>
        <w:t>známení</w:t>
      </w:r>
      <w:r w:rsidR="004777B7" w:rsidRPr="00E43BD1">
        <w:rPr>
          <w:noProof/>
        </w:rPr>
        <w:t>m</w:t>
      </w:r>
      <w:r w:rsidRPr="00E43BD1">
        <w:rPr>
          <w:noProof/>
        </w:rPr>
        <w:t xml:space="preserve"> rozhodnutí kupujícího o výběru nejvýhodnější nabídky ze dne </w:t>
      </w:r>
      <w:r w:rsidRPr="00E43BD1">
        <w:rPr>
          <w:noProof/>
          <w:highlight w:val="green"/>
        </w:rPr>
        <w:t>……………</w:t>
      </w:r>
      <w:r w:rsidRPr="00E43BD1">
        <w:rPr>
          <w:noProof/>
        </w:rPr>
        <w:t xml:space="preserve"> pod č.j. </w:t>
      </w:r>
      <w:r w:rsidRPr="00E43BD1">
        <w:rPr>
          <w:noProof/>
          <w:highlight w:val="green"/>
        </w:rPr>
        <w:t>…………………</w:t>
      </w:r>
      <w:r w:rsidRPr="00E43BD1">
        <w:rPr>
          <w:noProof/>
        </w:rPr>
        <w:t xml:space="preserve"> podepsané ředitelem Oblastního ředitelství Praha na základě návrhu hodnotící komise.</w:t>
      </w:r>
    </w:p>
    <w:p w14:paraId="36BA2021" w14:textId="52FCC28A" w:rsidR="00FE1CF2" w:rsidRPr="00E43BD1" w:rsidRDefault="00FE1CF2" w:rsidP="006325A9">
      <w:pPr>
        <w:numPr>
          <w:ilvl w:val="1"/>
          <w:numId w:val="5"/>
        </w:numPr>
        <w:ind w:left="1134" w:hanging="708"/>
        <w:rPr>
          <w:rFonts w:eastAsia="Verdana" w:cs="Times New Roman"/>
          <w:noProof/>
        </w:rPr>
      </w:pPr>
      <w:r w:rsidRPr="00E43BD1">
        <w:rPr>
          <w:rFonts w:eastAsia="Verdana" w:cs="Times New Roman"/>
          <w:noProof/>
        </w:rPr>
        <w:t>Prodávající je povinen dbát všech závazných stanovisek vzniklých při projednávání předmětného plnění příslušných dotčených orgánů a institucí (účastníků řízení apod.).</w:t>
      </w:r>
    </w:p>
    <w:p w14:paraId="0A5C26BE" w14:textId="543B2831" w:rsidR="0054209E" w:rsidRPr="00E43BD1" w:rsidRDefault="00FE1CF2" w:rsidP="00564D10">
      <w:pPr>
        <w:pStyle w:val="Odstavecseseznamem"/>
        <w:numPr>
          <w:ilvl w:val="0"/>
          <w:numId w:val="5"/>
        </w:numPr>
        <w:spacing w:before="120" w:after="120"/>
        <w:contextualSpacing w:val="0"/>
        <w:rPr>
          <w:b/>
          <w:noProof/>
          <w:sz w:val="24"/>
          <w:szCs w:val="24"/>
        </w:rPr>
      </w:pPr>
      <w:r w:rsidRPr="00E43BD1">
        <w:rPr>
          <w:b/>
          <w:noProof/>
          <w:sz w:val="24"/>
          <w:szCs w:val="24"/>
        </w:rPr>
        <w:t>Předmět plnění</w:t>
      </w:r>
    </w:p>
    <w:p w14:paraId="3B492E27" w14:textId="77777777" w:rsidR="00D4049A" w:rsidRPr="00E43BD1" w:rsidRDefault="00FE1CF2" w:rsidP="00D1567B">
      <w:pPr>
        <w:numPr>
          <w:ilvl w:val="1"/>
          <w:numId w:val="5"/>
        </w:numPr>
        <w:spacing w:after="120"/>
        <w:ind w:left="1134" w:hanging="708"/>
        <w:rPr>
          <w:rFonts w:eastAsia="Verdana" w:cs="Times New Roman"/>
          <w:noProof/>
        </w:rPr>
      </w:pPr>
      <w:r w:rsidRPr="00E43BD1">
        <w:rPr>
          <w:rFonts w:eastAsia="Verdana" w:cs="Times New Roman"/>
          <w:noProof/>
        </w:rPr>
        <w:t xml:space="preserve">Plnění prodávajícího vychází z podmínek citovaných v celém článku 2 této </w:t>
      </w:r>
      <w:r w:rsidR="000B5886" w:rsidRPr="00E43BD1">
        <w:rPr>
          <w:rFonts w:eastAsia="Verdana" w:cs="Times New Roman"/>
          <w:noProof/>
        </w:rPr>
        <w:t>smlouvy. Předmětem plnění této s</w:t>
      </w:r>
      <w:r w:rsidRPr="00E43BD1">
        <w:rPr>
          <w:rFonts w:eastAsia="Verdana" w:cs="Times New Roman"/>
          <w:noProof/>
        </w:rPr>
        <w:t>m</w:t>
      </w:r>
      <w:r w:rsidR="000B5886" w:rsidRPr="00E43BD1">
        <w:rPr>
          <w:rFonts w:eastAsia="Verdana" w:cs="Times New Roman"/>
          <w:noProof/>
        </w:rPr>
        <w:t>l</w:t>
      </w:r>
      <w:r w:rsidRPr="00E43BD1">
        <w:rPr>
          <w:rFonts w:eastAsia="Verdana" w:cs="Times New Roman"/>
          <w:noProof/>
        </w:rPr>
        <w:t xml:space="preserve">ouvy je: </w:t>
      </w:r>
    </w:p>
    <w:p w14:paraId="75820EAA" w14:textId="65D65373" w:rsidR="00277863" w:rsidRDefault="00527E94" w:rsidP="006325A9">
      <w:pPr>
        <w:spacing w:after="120"/>
        <w:ind w:left="1134"/>
        <w:rPr>
          <w:lang w:eastAsia="cs-CZ"/>
        </w:rPr>
      </w:pPr>
      <w:r w:rsidRPr="00E43BD1">
        <w:rPr>
          <w:lang w:eastAsia="cs-CZ"/>
        </w:rPr>
        <w:t>D</w:t>
      </w:r>
      <w:r w:rsidR="00277863" w:rsidRPr="00E43BD1">
        <w:rPr>
          <w:lang w:eastAsia="cs-CZ"/>
        </w:rPr>
        <w:t>odávka</w:t>
      </w:r>
      <w:r>
        <w:rPr>
          <w:lang w:eastAsia="cs-CZ"/>
        </w:rPr>
        <w:t xml:space="preserve"> 800 ks balení</w:t>
      </w:r>
      <w:r w:rsidR="00277863" w:rsidRPr="00E43BD1">
        <w:rPr>
          <w:lang w:eastAsia="cs-CZ"/>
        </w:rPr>
        <w:t xml:space="preserve"> Xerografického papíru formátu A4</w:t>
      </w:r>
      <w:r w:rsidR="00D4049A" w:rsidRPr="00E43BD1">
        <w:rPr>
          <w:lang w:eastAsia="cs-CZ"/>
        </w:rPr>
        <w:t xml:space="preserve"> (dále jen zboží)</w:t>
      </w:r>
      <w:r>
        <w:rPr>
          <w:lang w:eastAsia="cs-CZ"/>
        </w:rPr>
        <w:t>.</w:t>
      </w:r>
    </w:p>
    <w:p w14:paraId="6A4C4395" w14:textId="0B4865C2" w:rsidR="00527E94" w:rsidRPr="00E43BD1" w:rsidRDefault="00527E94" w:rsidP="006325A9">
      <w:pPr>
        <w:spacing w:after="120"/>
        <w:ind w:left="1134"/>
        <w:rPr>
          <w:rFonts w:eastAsia="Verdana" w:cs="Times New Roman"/>
          <w:noProof/>
        </w:rPr>
      </w:pPr>
      <w:r>
        <w:rPr>
          <w:lang w:eastAsia="cs-CZ"/>
        </w:rPr>
        <w:t>1 balení = 500 listů.</w:t>
      </w:r>
    </w:p>
    <w:p w14:paraId="50FC0038" w14:textId="016E09FE" w:rsidR="00067016" w:rsidRPr="00E43BD1" w:rsidRDefault="00067016" w:rsidP="006325A9">
      <w:pPr>
        <w:numPr>
          <w:ilvl w:val="1"/>
          <w:numId w:val="5"/>
        </w:numPr>
        <w:spacing w:after="120"/>
        <w:ind w:left="1134" w:hanging="708"/>
        <w:rPr>
          <w:rFonts w:eastAsia="Verdana" w:cs="Times New Roman"/>
          <w:noProof/>
        </w:rPr>
      </w:pPr>
      <w:r w:rsidRPr="00E43BD1">
        <w:rPr>
          <w:rFonts w:eastAsia="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Pr="00E43BD1" w:rsidRDefault="004E7289" w:rsidP="004E7289">
      <w:pPr>
        <w:pStyle w:val="Odstavecseseznamem"/>
        <w:ind w:left="1021"/>
        <w:rPr>
          <w:rFonts w:eastAsia="Verdana" w:cs="Times New Roman"/>
          <w:noProof/>
        </w:rPr>
      </w:pPr>
    </w:p>
    <w:p w14:paraId="50EC63FC" w14:textId="5053BF7D" w:rsidR="00FE1CF2" w:rsidRPr="00E43BD1" w:rsidRDefault="00C857F6" w:rsidP="0010485C">
      <w:pPr>
        <w:pStyle w:val="Odstavecseseznamem"/>
        <w:numPr>
          <w:ilvl w:val="1"/>
          <w:numId w:val="5"/>
        </w:numPr>
        <w:spacing w:before="120" w:after="120"/>
        <w:ind w:left="1134" w:hanging="709"/>
        <w:rPr>
          <w:rFonts w:eastAsia="Verdana" w:cs="Times New Roman"/>
          <w:noProof/>
        </w:rPr>
      </w:pPr>
      <w:r w:rsidRPr="00A153B5">
        <w:rPr>
          <w:rFonts w:eastAsia="Verdana" w:cs="Times New Roman"/>
          <w:noProof/>
        </w:rPr>
        <w:t>Místo plnění</w:t>
      </w:r>
      <w:r w:rsidR="00CD24EC" w:rsidRPr="00A153B5">
        <w:rPr>
          <w:rFonts w:eastAsia="Verdana" w:cs="Times New Roman"/>
          <w:noProof/>
        </w:rPr>
        <w:t xml:space="preserve"> </w:t>
      </w:r>
      <w:r w:rsidRPr="00A153B5">
        <w:rPr>
          <w:rFonts w:eastAsia="Verdana" w:cs="Times New Roman"/>
          <w:noProof/>
        </w:rPr>
        <w:t xml:space="preserve">dodávky </w:t>
      </w:r>
      <w:r w:rsidR="000C1581" w:rsidRPr="00A153B5">
        <w:rPr>
          <w:rFonts w:eastAsia="Verdana" w:cs="Times New Roman"/>
          <w:noProof/>
        </w:rPr>
        <w:t xml:space="preserve">zboží </w:t>
      </w:r>
      <w:r w:rsidRPr="00A153B5">
        <w:rPr>
          <w:rFonts w:eastAsia="Verdana" w:cs="Times New Roman"/>
          <w:noProof/>
        </w:rPr>
        <w:t xml:space="preserve">je uvedeno v </w:t>
      </w:r>
      <w:r>
        <w:rPr>
          <w:rFonts w:eastAsia="Verdana" w:cs="Times New Roman"/>
          <w:noProof/>
        </w:rPr>
        <w:t>příloze</w:t>
      </w:r>
      <w:r w:rsidR="007060A5" w:rsidRPr="00E43BD1">
        <w:rPr>
          <w:rFonts w:eastAsia="Verdana" w:cs="Times New Roman"/>
          <w:noProof/>
        </w:rPr>
        <w:t xml:space="preserve"> č</w:t>
      </w:r>
      <w:r w:rsidR="007060A5" w:rsidRPr="00A4311E">
        <w:rPr>
          <w:rFonts w:eastAsia="Verdana" w:cs="Times New Roman"/>
          <w:noProof/>
        </w:rPr>
        <w:t>.</w:t>
      </w:r>
      <w:r w:rsidR="00527E94">
        <w:rPr>
          <w:rFonts w:eastAsia="Verdana" w:cs="Times New Roman"/>
          <w:noProof/>
        </w:rPr>
        <w:t xml:space="preserve"> </w:t>
      </w:r>
      <w:r w:rsidR="007F0C38" w:rsidRPr="00A4311E">
        <w:t>7</w:t>
      </w:r>
      <w:r w:rsidR="00FF0DC5">
        <w:t xml:space="preserve"> </w:t>
      </w:r>
      <w:r w:rsidR="00277863" w:rsidRPr="00A4311E">
        <w:rPr>
          <w:rFonts w:eastAsia="Verdana" w:cs="Times New Roman"/>
          <w:noProof/>
        </w:rPr>
        <w:t>–</w:t>
      </w:r>
      <w:r w:rsidR="00277863" w:rsidRPr="00E43BD1">
        <w:rPr>
          <w:rFonts w:eastAsia="Verdana" w:cs="Times New Roman"/>
          <w:noProof/>
        </w:rPr>
        <w:t xml:space="preserve"> </w:t>
      </w:r>
      <w:r w:rsidR="007F0C38" w:rsidRPr="00E43BD1">
        <w:rPr>
          <w:rFonts w:eastAsia="Verdana" w:cs="Times New Roman"/>
          <w:noProof/>
        </w:rPr>
        <w:t>Dodací místa</w:t>
      </w:r>
      <w:r w:rsidR="00373009" w:rsidRPr="00E43BD1">
        <w:rPr>
          <w:rFonts w:eastAsia="Verdana" w:cs="Times New Roman"/>
          <w:noProof/>
        </w:rPr>
        <w:t xml:space="preserve"> </w:t>
      </w:r>
    </w:p>
    <w:p w14:paraId="5F22C61F" w14:textId="77777777" w:rsidR="00DA3796" w:rsidRPr="00E43BD1" w:rsidRDefault="00DA3796" w:rsidP="0010485C">
      <w:pPr>
        <w:pStyle w:val="Odstavecseseznamem"/>
        <w:spacing w:after="120" w:line="240" w:lineRule="auto"/>
        <w:rPr>
          <w:rFonts w:eastAsia="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56A53168" w14:textId="1B5E2A48" w:rsidR="00527E94" w:rsidRDefault="00527E94" w:rsidP="0010485C">
      <w:pPr>
        <w:pStyle w:val="Odstavecseseznamem"/>
        <w:numPr>
          <w:ilvl w:val="1"/>
          <w:numId w:val="5"/>
        </w:numPr>
        <w:tabs>
          <w:tab w:val="clear" w:pos="1276"/>
        </w:tabs>
        <w:spacing w:after="120"/>
        <w:ind w:left="1134" w:hanging="709"/>
        <w:contextualSpacing w:val="0"/>
        <w:rPr>
          <w:noProof/>
        </w:rPr>
      </w:pPr>
      <w:r w:rsidRPr="00FF4F63">
        <w:rPr>
          <w:lang w:eastAsia="cs-CZ"/>
        </w:rPr>
        <w:t xml:space="preserve">Dodávky budou probíhat </w:t>
      </w:r>
      <w:r>
        <w:rPr>
          <w:lang w:eastAsia="cs-CZ"/>
        </w:rPr>
        <w:t xml:space="preserve">jednorázovým nákupem na určená místa ihned </w:t>
      </w:r>
      <w:proofErr w:type="gramStart"/>
      <w:r>
        <w:rPr>
          <w:lang w:eastAsia="cs-CZ"/>
        </w:rPr>
        <w:t>po  uveřejnění</w:t>
      </w:r>
      <w:proofErr w:type="gramEnd"/>
      <w:r>
        <w:rPr>
          <w:lang w:eastAsia="cs-CZ"/>
        </w:rPr>
        <w:t xml:space="preserve"> smlouvy v registru smluv</w:t>
      </w:r>
    </w:p>
    <w:p w14:paraId="3FB14CAC" w14:textId="2A35384E" w:rsidR="008E6D32" w:rsidRPr="0010485C" w:rsidRDefault="008E6D32" w:rsidP="0010485C">
      <w:pPr>
        <w:pStyle w:val="Odstavecseseznamem"/>
        <w:numPr>
          <w:ilvl w:val="1"/>
          <w:numId w:val="5"/>
        </w:numPr>
        <w:tabs>
          <w:tab w:val="clear" w:pos="1276"/>
        </w:tabs>
        <w:spacing w:after="120"/>
        <w:ind w:left="1134" w:hanging="709"/>
        <w:contextualSpacing w:val="0"/>
        <w:rPr>
          <w:noProof/>
        </w:rPr>
      </w:pP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E43BD1">
        <w:rPr>
          <w:noProof/>
        </w:rPr>
        <w:t>a to</w:t>
      </w:r>
      <w:r w:rsidRPr="00E43BD1">
        <w:rPr>
          <w:noProof/>
        </w:rPr>
        <w:t xml:space="preserve"> nejpozději do </w:t>
      </w:r>
      <w:r w:rsidR="007060A5" w:rsidRPr="00E43BD1">
        <w:rPr>
          <w:lang w:eastAsia="cs-CZ"/>
        </w:rPr>
        <w:t>14 dnů po zahájení dodávek</w:t>
      </w:r>
      <w:r w:rsidRPr="00E43BD1">
        <w:rPr>
          <w:b/>
          <w:noProof/>
        </w:rPr>
        <w:t>.</w:t>
      </w:r>
    </w:p>
    <w:p w14:paraId="23078F28" w14:textId="1A12F846" w:rsidR="008E6D32" w:rsidRPr="00E43BD1" w:rsidRDefault="008E6D32" w:rsidP="00564D10">
      <w:pPr>
        <w:pStyle w:val="Odstavecseseznamem"/>
        <w:numPr>
          <w:ilvl w:val="0"/>
          <w:numId w:val="5"/>
        </w:numPr>
        <w:spacing w:after="120"/>
        <w:contextualSpacing w:val="0"/>
        <w:rPr>
          <w:b/>
          <w:noProof/>
          <w:sz w:val="24"/>
          <w:szCs w:val="24"/>
        </w:rPr>
      </w:pPr>
      <w:r w:rsidRPr="00E43BD1">
        <w:rPr>
          <w:b/>
          <w:noProof/>
          <w:sz w:val="24"/>
          <w:szCs w:val="24"/>
        </w:rPr>
        <w:t xml:space="preserve">Cena </w:t>
      </w:r>
    </w:p>
    <w:p w14:paraId="654F506D" w14:textId="442A99CB" w:rsidR="008E6D32" w:rsidRPr="00E43BD1" w:rsidRDefault="0029755E" w:rsidP="006325A9">
      <w:pPr>
        <w:numPr>
          <w:ilvl w:val="1"/>
          <w:numId w:val="5"/>
        </w:numPr>
        <w:ind w:left="1134" w:hanging="708"/>
        <w:rPr>
          <w:rFonts w:eastAsia="Verdana" w:cs="Times New Roman"/>
          <w:noProof/>
        </w:rPr>
      </w:pPr>
      <w:r w:rsidRPr="00E43BD1">
        <w:rPr>
          <w:rFonts w:eastAsia="Verdana" w:cs="Times New Roman"/>
          <w:noProof/>
        </w:rPr>
        <w:t>Kupní</w:t>
      </w:r>
      <w:r w:rsidR="008E6D32" w:rsidRPr="00E43BD1">
        <w:rPr>
          <w:rFonts w:eastAsia="Verdana" w:cs="Times New Roman"/>
          <w:noProof/>
        </w:rPr>
        <w:t xml:space="preserve"> cena  celkem je stanovena jako nejvýše přípustná na základě výzvy k podání nabídky a nabídky prodávajícího a činí: </w:t>
      </w:r>
    </w:p>
    <w:p w14:paraId="4309A19B" w14:textId="13E76FB5" w:rsidR="004451FE" w:rsidRPr="00E43BD1" w:rsidRDefault="004451FE" w:rsidP="006325A9">
      <w:pPr>
        <w:pStyle w:val="Odstavecseseznamem"/>
        <w:tabs>
          <w:tab w:val="left" w:pos="5670"/>
        </w:tabs>
        <w:spacing w:before="120" w:after="0"/>
        <w:ind w:left="1134"/>
        <w:contextualSpacing w:val="0"/>
        <w:rPr>
          <w:highlight w:val="yellow"/>
        </w:rPr>
      </w:pPr>
      <w:r w:rsidRPr="00E43BD1">
        <w:rPr>
          <w:highlight w:val="yellow"/>
        </w:rPr>
        <w:t>Cena za 1 ks</w:t>
      </w:r>
      <w:r w:rsidR="00527E94">
        <w:rPr>
          <w:highlight w:val="yellow"/>
        </w:rPr>
        <w:t>/balení</w:t>
      </w:r>
      <w:r w:rsidRPr="00E43BD1">
        <w:rPr>
          <w:highlight w:val="yellow"/>
        </w:rPr>
        <w:t xml:space="preserve"> bez DPH:             </w:t>
      </w:r>
      <w:r w:rsidRPr="00E43BD1">
        <w:rPr>
          <w:highlight w:val="yellow"/>
        </w:rPr>
        <w:tab/>
        <w:t>Kč</w:t>
      </w:r>
    </w:p>
    <w:p w14:paraId="63898F33" w14:textId="1E442FFE" w:rsidR="004451FE" w:rsidRPr="00E43BD1" w:rsidRDefault="004451FE" w:rsidP="006325A9">
      <w:pPr>
        <w:pStyle w:val="Odstavecseseznamem"/>
        <w:tabs>
          <w:tab w:val="left" w:pos="5670"/>
        </w:tabs>
        <w:spacing w:before="120" w:after="0"/>
        <w:ind w:left="1134"/>
        <w:contextualSpacing w:val="0"/>
        <w:rPr>
          <w:highlight w:val="yellow"/>
        </w:rPr>
      </w:pPr>
      <w:r w:rsidRPr="00E43BD1">
        <w:rPr>
          <w:highlight w:val="yellow"/>
        </w:rPr>
        <w:t xml:space="preserve">Celková </w:t>
      </w:r>
      <w:r w:rsidR="0012326F" w:rsidRPr="00E43BD1">
        <w:rPr>
          <w:highlight w:val="yellow"/>
        </w:rPr>
        <w:t xml:space="preserve">cena za </w:t>
      </w:r>
      <w:r w:rsidR="00527E94">
        <w:rPr>
          <w:highlight w:val="yellow"/>
        </w:rPr>
        <w:t>800</w:t>
      </w:r>
      <w:r w:rsidRPr="00E43BD1">
        <w:rPr>
          <w:highlight w:val="yellow"/>
        </w:rPr>
        <w:t xml:space="preserve"> ks</w:t>
      </w:r>
      <w:r w:rsidR="00527E94">
        <w:rPr>
          <w:highlight w:val="yellow"/>
        </w:rPr>
        <w:t>/balení</w:t>
      </w:r>
      <w:r w:rsidRPr="00E43BD1">
        <w:rPr>
          <w:highlight w:val="yellow"/>
        </w:rPr>
        <w:t xml:space="preserve"> bez DPH:          </w:t>
      </w:r>
      <w:r w:rsidRPr="00E43BD1">
        <w:rPr>
          <w:highlight w:val="yellow"/>
        </w:rPr>
        <w:tab/>
        <w:t>Kč</w:t>
      </w:r>
    </w:p>
    <w:p w14:paraId="2F478AD8" w14:textId="77777777" w:rsidR="004451FE" w:rsidRPr="00E43BD1" w:rsidRDefault="004451FE" w:rsidP="006325A9">
      <w:pPr>
        <w:pStyle w:val="Odstavecseseznamem"/>
        <w:tabs>
          <w:tab w:val="left" w:pos="5670"/>
        </w:tabs>
        <w:spacing w:before="120" w:after="0"/>
        <w:ind w:left="1134"/>
        <w:contextualSpacing w:val="0"/>
        <w:rPr>
          <w:highlight w:val="yellow"/>
        </w:rPr>
      </w:pPr>
      <w:r w:rsidRPr="00E43BD1">
        <w:rPr>
          <w:highlight w:val="yellow"/>
        </w:rPr>
        <w:t>DPH 21%:</w:t>
      </w:r>
      <w:r w:rsidRPr="00E43BD1">
        <w:rPr>
          <w:highlight w:val="yellow"/>
        </w:rPr>
        <w:tab/>
        <w:t>Kč</w:t>
      </w:r>
    </w:p>
    <w:p w14:paraId="66A648D9" w14:textId="64EFC686" w:rsidR="004451FE" w:rsidRPr="00E43BD1" w:rsidRDefault="004451FE" w:rsidP="006325A9">
      <w:pPr>
        <w:pStyle w:val="Odstavecseseznamem"/>
        <w:tabs>
          <w:tab w:val="left" w:pos="5670"/>
        </w:tabs>
        <w:spacing w:before="120" w:after="0"/>
        <w:ind w:left="1134"/>
        <w:contextualSpacing w:val="0"/>
        <w:rPr>
          <w:highlight w:val="yellow"/>
        </w:rPr>
      </w:pPr>
      <w:r w:rsidRPr="00E43BD1">
        <w:rPr>
          <w:highlight w:val="yellow"/>
        </w:rPr>
        <w:t>Celková c</w:t>
      </w:r>
      <w:r w:rsidR="0012326F" w:rsidRPr="00E43BD1">
        <w:rPr>
          <w:highlight w:val="yellow"/>
        </w:rPr>
        <w:t xml:space="preserve">ena za </w:t>
      </w:r>
      <w:r w:rsidR="00527E94">
        <w:rPr>
          <w:highlight w:val="yellow"/>
        </w:rPr>
        <w:t>800</w:t>
      </w:r>
      <w:r w:rsidRPr="00E43BD1">
        <w:rPr>
          <w:highlight w:val="yellow"/>
        </w:rPr>
        <w:t xml:space="preserve"> ks</w:t>
      </w:r>
      <w:r w:rsidR="00527E94">
        <w:rPr>
          <w:highlight w:val="yellow"/>
        </w:rPr>
        <w:t>/balení</w:t>
      </w:r>
      <w:r w:rsidRPr="00E43BD1">
        <w:rPr>
          <w:highlight w:val="yellow"/>
        </w:rPr>
        <w:t xml:space="preserve"> včetně DPH         </w:t>
      </w:r>
      <w:r w:rsidRPr="00E43BD1">
        <w:rPr>
          <w:highlight w:val="yellow"/>
        </w:rPr>
        <w:tab/>
        <w:t>Kč</w:t>
      </w:r>
    </w:p>
    <w:p w14:paraId="0339BA5A" w14:textId="77777777" w:rsidR="00380C61" w:rsidRPr="00E43BD1" w:rsidRDefault="00380C61" w:rsidP="006325A9">
      <w:pPr>
        <w:pStyle w:val="Odstavecseseznamem"/>
        <w:tabs>
          <w:tab w:val="left" w:pos="5670"/>
        </w:tabs>
        <w:ind w:left="1134"/>
        <w:contextualSpacing w:val="0"/>
        <w:rPr>
          <w:highlight w:val="yellow"/>
        </w:rPr>
      </w:pPr>
    </w:p>
    <w:p w14:paraId="14459882" w14:textId="1AA10697" w:rsidR="004451FE" w:rsidRPr="00E43BD1" w:rsidRDefault="004451FE" w:rsidP="006325A9">
      <w:pPr>
        <w:pStyle w:val="Odstavecseseznamem"/>
        <w:tabs>
          <w:tab w:val="left" w:pos="5670"/>
        </w:tabs>
        <w:ind w:left="1134"/>
        <w:contextualSpacing w:val="0"/>
        <w:rPr>
          <w:highlight w:val="yellow"/>
        </w:rPr>
      </w:pPr>
      <w:r w:rsidRPr="00E43BD1">
        <w:rPr>
          <w:highlight w:val="yellow"/>
        </w:rPr>
        <w:t xml:space="preserve">Celková cena </w:t>
      </w:r>
      <w:r w:rsidR="0012326F" w:rsidRPr="00E43BD1">
        <w:rPr>
          <w:highlight w:val="yellow"/>
        </w:rPr>
        <w:t xml:space="preserve">za </w:t>
      </w:r>
      <w:r w:rsidR="00332DBA">
        <w:rPr>
          <w:highlight w:val="yellow"/>
        </w:rPr>
        <w:t>800</w:t>
      </w:r>
      <w:r w:rsidR="00332DBA" w:rsidRPr="00E43BD1">
        <w:rPr>
          <w:highlight w:val="yellow"/>
        </w:rPr>
        <w:t xml:space="preserve"> </w:t>
      </w:r>
      <w:r w:rsidR="005073B1" w:rsidRPr="00E43BD1">
        <w:rPr>
          <w:highlight w:val="yellow"/>
        </w:rPr>
        <w:t>ks</w:t>
      </w:r>
      <w:r w:rsidR="00527E94">
        <w:rPr>
          <w:highlight w:val="yellow"/>
        </w:rPr>
        <w:t>/balení</w:t>
      </w:r>
      <w:r w:rsidR="005073B1" w:rsidRPr="00E43BD1">
        <w:rPr>
          <w:highlight w:val="yellow"/>
        </w:rPr>
        <w:t xml:space="preserve"> </w:t>
      </w:r>
      <w:r w:rsidRPr="00E43BD1">
        <w:rPr>
          <w:b/>
          <w:highlight w:val="yellow"/>
        </w:rPr>
        <w:t>bez DPH slovy</w:t>
      </w:r>
      <w:r w:rsidRPr="00E43BD1">
        <w:rPr>
          <w:highlight w:val="yellow"/>
        </w:rPr>
        <w:t xml:space="preserve">:  </w:t>
      </w:r>
      <w:r w:rsidRPr="00E43BD1">
        <w:rPr>
          <w:highlight w:val="yellow"/>
        </w:rPr>
        <w:tab/>
        <w:t>Kč</w:t>
      </w:r>
    </w:p>
    <w:p w14:paraId="6459B5A5" w14:textId="101ECFB1" w:rsidR="00380C61" w:rsidRDefault="0054209E" w:rsidP="006325A9">
      <w:pPr>
        <w:pStyle w:val="Odstavecseseznamem"/>
        <w:ind w:left="1134"/>
        <w:contextualSpacing w:val="0"/>
        <w:rPr>
          <w:noProof/>
        </w:rPr>
      </w:pPr>
      <w:r w:rsidRPr="00E43BD1">
        <w:rPr>
          <w:noProof/>
        </w:rPr>
        <w:t>Kupující se zavazuje zaplatit prodávajícímu kupní cenu.</w:t>
      </w:r>
    </w:p>
    <w:p w14:paraId="091273AC" w14:textId="58BA6C1D" w:rsidR="00527E94" w:rsidRDefault="00527E94" w:rsidP="006325A9">
      <w:pPr>
        <w:pStyle w:val="Odstavecseseznamem"/>
        <w:ind w:left="1134"/>
        <w:contextualSpacing w:val="0"/>
        <w:rPr>
          <w:noProof/>
        </w:rPr>
      </w:pPr>
    </w:p>
    <w:p w14:paraId="02D2708D" w14:textId="77777777" w:rsidR="00527E94" w:rsidRDefault="00527E94" w:rsidP="006325A9">
      <w:pPr>
        <w:pStyle w:val="Odstavecseseznamem"/>
        <w:ind w:left="1134"/>
        <w:contextualSpacing w:val="0"/>
        <w:rPr>
          <w:noProof/>
        </w:rPr>
      </w:pP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lastRenderedPageBreak/>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7B581F" w:rsidRDefault="00943057" w:rsidP="006325A9">
      <w:pPr>
        <w:pStyle w:val="Odstavecseseznamem"/>
        <w:numPr>
          <w:ilvl w:val="1"/>
          <w:numId w:val="5"/>
        </w:numPr>
        <w:ind w:left="1134" w:hanging="708"/>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A4311E" w:rsidRDefault="00943057" w:rsidP="006325A9">
      <w:pPr>
        <w:pStyle w:val="Odstavecseseznamem"/>
        <w:numPr>
          <w:ilvl w:val="1"/>
          <w:numId w:val="5"/>
        </w:numPr>
        <w:ind w:left="1134" w:hanging="708"/>
        <w:contextualSpacing w:val="0"/>
        <w:rPr>
          <w:noProof/>
        </w:rPr>
      </w:pPr>
      <w:r w:rsidRPr="00A4311E">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6325A9">
      <w:pPr>
        <w:pStyle w:val="Odstavecseseznamem"/>
        <w:numPr>
          <w:ilvl w:val="1"/>
          <w:numId w:val="5"/>
        </w:numPr>
        <w:ind w:left="1134" w:hanging="708"/>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6325A9">
      <w:pPr>
        <w:pStyle w:val="Odstavecseseznamem"/>
        <w:numPr>
          <w:ilvl w:val="1"/>
          <w:numId w:val="5"/>
        </w:numPr>
        <w:ind w:left="1134" w:hanging="708"/>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6325A9">
      <w:pPr>
        <w:numPr>
          <w:ilvl w:val="1"/>
          <w:numId w:val="5"/>
        </w:numPr>
        <w:ind w:left="1134" w:hanging="708"/>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6325A9">
      <w:pPr>
        <w:numPr>
          <w:ilvl w:val="1"/>
          <w:numId w:val="5"/>
        </w:numPr>
        <w:ind w:left="1134" w:hanging="708"/>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6325A9">
      <w:pPr>
        <w:numPr>
          <w:ilvl w:val="1"/>
          <w:numId w:val="5"/>
        </w:numPr>
        <w:ind w:left="1134" w:hanging="708"/>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6325A9">
      <w:pPr>
        <w:numPr>
          <w:ilvl w:val="1"/>
          <w:numId w:val="5"/>
        </w:numPr>
        <w:spacing w:after="0"/>
        <w:ind w:left="1134" w:hanging="708"/>
        <w:rPr>
          <w:noProof/>
        </w:rPr>
      </w:pPr>
      <w:r w:rsidRPr="00943057">
        <w:rPr>
          <w:noProof/>
        </w:rPr>
        <w:t xml:space="preserve">Prodávající poskytuje kupujícímu na dodávané zboží záruční </w:t>
      </w:r>
      <w:r w:rsidRPr="00A4311E">
        <w:rPr>
          <w:noProof/>
        </w:rPr>
        <w:t xml:space="preserve">dobu </w:t>
      </w:r>
      <w:r w:rsidRPr="00A4311E">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6325A9">
      <w:pPr>
        <w:ind w:left="1134"/>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6325A9">
      <w:pPr>
        <w:numPr>
          <w:ilvl w:val="1"/>
          <w:numId w:val="5"/>
        </w:numPr>
        <w:spacing w:after="120"/>
        <w:ind w:left="1134" w:hanging="708"/>
        <w:rPr>
          <w:noProof/>
        </w:rPr>
      </w:pPr>
      <w:r w:rsidRPr="00943057">
        <w:rPr>
          <w:noProof/>
        </w:rPr>
        <w:t>Kupující je při uplatnění práva z vadného plnění oprávněn reklamovat:</w:t>
      </w:r>
    </w:p>
    <w:p w14:paraId="01EDCD66" w14:textId="77777777" w:rsidR="00943057" w:rsidRPr="00943057" w:rsidRDefault="00943057" w:rsidP="006325A9">
      <w:pPr>
        <w:numPr>
          <w:ilvl w:val="1"/>
          <w:numId w:val="6"/>
        </w:numPr>
        <w:spacing w:after="0"/>
        <w:ind w:left="1134"/>
        <w:rPr>
          <w:color w:val="000000"/>
        </w:rPr>
      </w:pPr>
      <w:r w:rsidRPr="00943057">
        <w:rPr>
          <w:color w:val="000000"/>
        </w:rPr>
        <w:t>vady a množství při převzetí;</w:t>
      </w:r>
    </w:p>
    <w:p w14:paraId="1AED6FD7" w14:textId="77777777" w:rsidR="00943057" w:rsidRPr="00943057" w:rsidRDefault="00943057" w:rsidP="006325A9">
      <w:pPr>
        <w:numPr>
          <w:ilvl w:val="1"/>
          <w:numId w:val="6"/>
        </w:numPr>
        <w:spacing w:after="0"/>
        <w:ind w:left="1134"/>
        <w:rPr>
          <w:color w:val="000000"/>
        </w:rPr>
      </w:pPr>
      <w:r w:rsidRPr="00943057">
        <w:rPr>
          <w:color w:val="000000"/>
        </w:rPr>
        <w:t>zjevné vady do 7 dnů po převzetí;</w:t>
      </w:r>
    </w:p>
    <w:p w14:paraId="21E83DE9" w14:textId="77777777" w:rsidR="00943057" w:rsidRPr="00943057" w:rsidRDefault="00943057" w:rsidP="006325A9">
      <w:pPr>
        <w:numPr>
          <w:ilvl w:val="1"/>
          <w:numId w:val="6"/>
        </w:numPr>
        <w:spacing w:after="0"/>
        <w:ind w:left="1134"/>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6325A9">
      <w:pPr>
        <w:numPr>
          <w:ilvl w:val="1"/>
          <w:numId w:val="6"/>
        </w:numPr>
        <w:spacing w:after="0"/>
        <w:ind w:left="1134"/>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6325A9">
      <w:pPr>
        <w:numPr>
          <w:ilvl w:val="1"/>
          <w:numId w:val="6"/>
        </w:numPr>
        <w:ind w:left="1134"/>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6325A9">
      <w:pPr>
        <w:numPr>
          <w:ilvl w:val="1"/>
          <w:numId w:val="5"/>
        </w:numPr>
        <w:ind w:left="1078" w:hanging="652"/>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6325A9">
      <w:pPr>
        <w:numPr>
          <w:ilvl w:val="1"/>
          <w:numId w:val="5"/>
        </w:numPr>
        <w:ind w:left="1134" w:hanging="708"/>
        <w:rPr>
          <w:noProof/>
        </w:rPr>
      </w:pPr>
      <w:r w:rsidRPr="00943057">
        <w:rPr>
          <w:noProof/>
        </w:rPr>
        <w:lastRenderedPageBreak/>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48FF53CF" w:rsidR="00943057" w:rsidRDefault="00943057" w:rsidP="006325A9">
      <w:pPr>
        <w:numPr>
          <w:ilvl w:val="1"/>
          <w:numId w:val="5"/>
        </w:numPr>
        <w:ind w:left="1134" w:hanging="708"/>
        <w:rPr>
          <w:noProof/>
        </w:rPr>
      </w:pPr>
      <w:r w:rsidRPr="00943057">
        <w:rPr>
          <w:noProof/>
        </w:rPr>
        <w:t>Prodávající neodpovídá za škody vzniklé neodbornou manipulací se zbožím či s jeho nesprávným skladováním a zacházením.</w:t>
      </w:r>
    </w:p>
    <w:p w14:paraId="063EF6AF" w14:textId="77777777" w:rsidR="00B13DF5" w:rsidRPr="00943057" w:rsidRDefault="00B13DF5" w:rsidP="00B13DF5">
      <w:pPr>
        <w:rPr>
          <w:noProof/>
        </w:rPr>
      </w:pP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257E8091" w:rsidR="00943057" w:rsidRPr="00E51BB6" w:rsidRDefault="00943057" w:rsidP="00753F36">
      <w:pPr>
        <w:pStyle w:val="Odstavecseseznamem"/>
        <w:numPr>
          <w:ilvl w:val="1"/>
          <w:numId w:val="5"/>
        </w:numPr>
        <w:spacing w:after="120"/>
        <w:ind w:left="1134" w:hanging="709"/>
        <w:contextualSpacing w:val="0"/>
        <w:rPr>
          <w:noProof/>
        </w:rPr>
      </w:pPr>
      <w:r w:rsidRPr="00E51BB6">
        <w:rPr>
          <w:noProof/>
        </w:rPr>
        <w:t>Fakturace bude probíhat na základě daňového dokladu (faktura s náležitostmi daňového dokladu, dále jen faktura) po uskutečnění dodávky na kontaktní místo plnění.  Právo fakturovat vzniká prodávajícímu dnem předání a převzetí zboží odpovědným z</w:t>
      </w:r>
      <w:r w:rsidR="007060A5">
        <w:rPr>
          <w:noProof/>
        </w:rPr>
        <w:t xml:space="preserve">ástupcem </w:t>
      </w:r>
      <w:r w:rsidR="007060A5" w:rsidRPr="008A23D8">
        <w:rPr>
          <w:noProof/>
        </w:rPr>
        <w:t>kupujícího</w:t>
      </w:r>
      <w:r w:rsidR="008A23D8">
        <w:rPr>
          <w:noProof/>
        </w:rPr>
        <w:t>:</w:t>
      </w:r>
      <w:r w:rsidRPr="008A23D8">
        <w:rPr>
          <w:noProof/>
        </w:rPr>
        <w:t xml:space="preserve"> </w:t>
      </w:r>
    </w:p>
    <w:p w14:paraId="4CC7C52F" w14:textId="51D3A304" w:rsidR="00943057" w:rsidRPr="007C5932" w:rsidRDefault="00943057" w:rsidP="006325A9">
      <w:pPr>
        <w:pStyle w:val="Odstavecseseznamem"/>
        <w:spacing w:after="120"/>
        <w:ind w:left="1134"/>
        <w:contextualSpacing w:val="0"/>
        <w:rPr>
          <w:b/>
          <w:noProof/>
          <w:highlight w:val="green"/>
        </w:rPr>
      </w:pPr>
      <w:r>
        <w:rPr>
          <w:b/>
          <w:noProof/>
        </w:rPr>
        <w:t xml:space="preserve">- </w:t>
      </w:r>
      <w:r w:rsidR="00292E1C">
        <w:rPr>
          <w:b/>
          <w:noProof/>
        </w:rPr>
        <w:t>Kühnelová Soňa</w:t>
      </w:r>
      <w:r w:rsidR="007C5932" w:rsidRPr="00A4311E">
        <w:rPr>
          <w:b/>
          <w:noProof/>
        </w:rPr>
        <w:t xml:space="preserve">, tel.: </w:t>
      </w:r>
      <w:r w:rsidR="00292E1C" w:rsidRPr="00292E1C">
        <w:rPr>
          <w:b/>
          <w:noProof/>
        </w:rPr>
        <w:t>+420 602 435 476</w:t>
      </w:r>
    </w:p>
    <w:p w14:paraId="24309355" w14:textId="42F14ABC" w:rsidR="00943057" w:rsidRPr="00E51BB6" w:rsidRDefault="00943057" w:rsidP="008E389D">
      <w:pPr>
        <w:pStyle w:val="Odstavecseseznamem"/>
        <w:numPr>
          <w:ilvl w:val="1"/>
          <w:numId w:val="5"/>
        </w:numPr>
        <w:spacing w:before="120"/>
        <w:ind w:left="1134" w:hanging="709"/>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6325A9">
      <w:pPr>
        <w:pStyle w:val="Odstavecseseznamem"/>
        <w:numPr>
          <w:ilvl w:val="1"/>
          <w:numId w:val="5"/>
        </w:numPr>
        <w:tabs>
          <w:tab w:val="clear" w:pos="1276"/>
        </w:tabs>
        <w:ind w:left="1134" w:hanging="708"/>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6325A9">
      <w:pPr>
        <w:pStyle w:val="Odstavecseseznamem"/>
        <w:numPr>
          <w:ilvl w:val="1"/>
          <w:numId w:val="5"/>
        </w:numPr>
        <w:tabs>
          <w:tab w:val="clear" w:pos="1276"/>
        </w:tabs>
        <w:ind w:left="1134" w:hanging="708"/>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6325A9">
      <w:pPr>
        <w:pStyle w:val="Odstavecseseznamem"/>
        <w:numPr>
          <w:ilvl w:val="1"/>
          <w:numId w:val="5"/>
        </w:numPr>
        <w:ind w:left="1134" w:hanging="708"/>
        <w:contextualSpacing w:val="0"/>
        <w:rPr>
          <w:noProof/>
        </w:rPr>
      </w:pPr>
      <w:r w:rsidRPr="00E51BB6">
        <w:rPr>
          <w:noProof/>
        </w:rPr>
        <w:t>Prodávající nebude požadovat od kupujícího zálohy.</w:t>
      </w:r>
    </w:p>
    <w:p w14:paraId="7C2E36D3" w14:textId="6C02CE59" w:rsidR="00943057" w:rsidRPr="00ED3514" w:rsidRDefault="004451FE" w:rsidP="006325A9">
      <w:pPr>
        <w:numPr>
          <w:ilvl w:val="1"/>
          <w:numId w:val="5"/>
        </w:numPr>
        <w:tabs>
          <w:tab w:val="clear" w:pos="1276"/>
        </w:tabs>
        <w:ind w:left="1134" w:hanging="708"/>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6325A9">
      <w:pPr>
        <w:pStyle w:val="Odstavecseseznamem"/>
        <w:numPr>
          <w:ilvl w:val="1"/>
          <w:numId w:val="5"/>
        </w:numPr>
        <w:tabs>
          <w:tab w:val="clear" w:pos="1276"/>
        </w:tabs>
        <w:spacing w:after="120"/>
        <w:ind w:left="1134" w:hanging="708"/>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6325A9">
      <w:pPr>
        <w:pStyle w:val="Odstavecseseznamem"/>
        <w:tabs>
          <w:tab w:val="left" w:pos="709"/>
          <w:tab w:val="left" w:pos="1134"/>
        </w:tabs>
        <w:ind w:left="1134"/>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6325A9">
      <w:pPr>
        <w:pStyle w:val="Odstavecseseznamem"/>
        <w:tabs>
          <w:tab w:val="left" w:pos="709"/>
          <w:tab w:val="left" w:pos="1134"/>
        </w:tabs>
        <w:spacing w:after="0"/>
        <w:ind w:left="1134"/>
      </w:pPr>
      <w:r>
        <w:tab/>
      </w:r>
      <w:r w:rsidRPr="000B39E3">
        <w:t>se sídlem: Praha 1 - Nové Město, Dlážděná 1003/7, PSČ 110 00</w:t>
      </w:r>
    </w:p>
    <w:p w14:paraId="7C18DBCF" w14:textId="77777777" w:rsidR="00811E5E" w:rsidRPr="000B39E3" w:rsidRDefault="00811E5E" w:rsidP="006325A9">
      <w:pPr>
        <w:pStyle w:val="Zkladntext21"/>
        <w:tabs>
          <w:tab w:val="left" w:pos="1134"/>
        </w:tabs>
        <w:spacing w:after="120"/>
        <w:ind w:left="1134"/>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6325A9">
      <w:pPr>
        <w:overflowPunct w:val="0"/>
        <w:autoSpaceDE w:val="0"/>
        <w:autoSpaceDN w:val="0"/>
        <w:adjustRightInd w:val="0"/>
        <w:spacing w:before="120" w:after="0" w:line="360" w:lineRule="auto"/>
        <w:ind w:left="113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6325A9">
      <w:pPr>
        <w:pStyle w:val="Odstavecseseznamem"/>
        <w:numPr>
          <w:ilvl w:val="0"/>
          <w:numId w:val="15"/>
        </w:numPr>
        <w:spacing w:after="120" w:line="276" w:lineRule="auto"/>
        <w:ind w:left="113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6325A9">
      <w:pPr>
        <w:pStyle w:val="Odstavecseseznamem"/>
        <w:numPr>
          <w:ilvl w:val="0"/>
          <w:numId w:val="15"/>
        </w:numPr>
        <w:spacing w:after="120" w:line="276" w:lineRule="auto"/>
        <w:ind w:left="113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6325A9">
      <w:pPr>
        <w:pStyle w:val="Odstavecseseznamem"/>
        <w:numPr>
          <w:ilvl w:val="0"/>
          <w:numId w:val="15"/>
        </w:numPr>
        <w:spacing w:after="120" w:line="276" w:lineRule="auto"/>
        <w:ind w:left="113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6325A9">
      <w:pPr>
        <w:overflowPunct w:val="0"/>
        <w:autoSpaceDE w:val="0"/>
        <w:autoSpaceDN w:val="0"/>
        <w:adjustRightInd w:val="0"/>
        <w:spacing w:after="0" w:line="240" w:lineRule="auto"/>
        <w:ind w:left="1134"/>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6325A9">
      <w:pPr>
        <w:overflowPunct w:val="0"/>
        <w:autoSpaceDE w:val="0"/>
        <w:autoSpaceDN w:val="0"/>
        <w:adjustRightInd w:val="0"/>
        <w:spacing w:after="0" w:line="240" w:lineRule="auto"/>
        <w:ind w:left="1134" w:firstLine="286"/>
        <w:textAlignment w:val="baseline"/>
        <w:rPr>
          <w:rFonts w:ascii="Verdana" w:hAnsi="Verdana"/>
          <w:bCs/>
        </w:rPr>
      </w:pPr>
    </w:p>
    <w:p w14:paraId="42E836A4" w14:textId="77777777" w:rsidR="00943057" w:rsidRPr="00E51BB6" w:rsidRDefault="00943057" w:rsidP="006325A9">
      <w:pPr>
        <w:pStyle w:val="Odstavecseseznamem"/>
        <w:numPr>
          <w:ilvl w:val="1"/>
          <w:numId w:val="5"/>
        </w:numPr>
        <w:ind w:left="1134" w:hanging="708"/>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6325A9">
      <w:pPr>
        <w:numPr>
          <w:ilvl w:val="1"/>
          <w:numId w:val="5"/>
        </w:numPr>
        <w:ind w:left="1134" w:hanging="708"/>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6325A9">
      <w:pPr>
        <w:numPr>
          <w:ilvl w:val="1"/>
          <w:numId w:val="5"/>
        </w:numPr>
        <w:ind w:left="1134" w:hanging="708"/>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6325A9">
      <w:pPr>
        <w:pStyle w:val="Odstavecseseznamem"/>
        <w:numPr>
          <w:ilvl w:val="1"/>
          <w:numId w:val="5"/>
        </w:numPr>
        <w:ind w:left="1134" w:hanging="708"/>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126900">
      <w:pPr>
        <w:pStyle w:val="Odstavecseseznamem"/>
        <w:numPr>
          <w:ilvl w:val="1"/>
          <w:numId w:val="5"/>
        </w:numPr>
        <w:ind w:left="1134" w:hanging="708"/>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2447173A" w:rsidR="0054209E" w:rsidRDefault="0054209E" w:rsidP="00126900">
      <w:pPr>
        <w:pStyle w:val="Odstavecseseznamem"/>
        <w:numPr>
          <w:ilvl w:val="1"/>
          <w:numId w:val="5"/>
        </w:numPr>
        <w:ind w:left="1134" w:hanging="708"/>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w:t>
      </w:r>
      <w:r w:rsidRPr="007B581F">
        <w:rPr>
          <w:noProof/>
        </w:rPr>
        <w:t>.</w:t>
      </w:r>
    </w:p>
    <w:p w14:paraId="501E5C91" w14:textId="20D50C1F" w:rsidR="0054209E" w:rsidRPr="007B581F" w:rsidRDefault="0054209E" w:rsidP="00126900">
      <w:pPr>
        <w:pStyle w:val="Odstavecseseznamem"/>
        <w:numPr>
          <w:ilvl w:val="1"/>
          <w:numId w:val="5"/>
        </w:numPr>
        <w:ind w:left="1134" w:hanging="708"/>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6F4D26CA" w:rsidR="0054209E" w:rsidRPr="007B581F" w:rsidRDefault="0054209E" w:rsidP="00126900">
      <w:pPr>
        <w:pStyle w:val="Odstavecseseznamem"/>
        <w:numPr>
          <w:ilvl w:val="1"/>
          <w:numId w:val="5"/>
        </w:numPr>
        <w:ind w:left="1134" w:hanging="708"/>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w:t>
      </w:r>
    </w:p>
    <w:p w14:paraId="0DFA7EAC" w14:textId="77777777" w:rsidR="0054209E" w:rsidRPr="007B581F" w:rsidRDefault="0054209E" w:rsidP="00126900">
      <w:pPr>
        <w:pStyle w:val="Odstavecseseznamem"/>
        <w:numPr>
          <w:ilvl w:val="1"/>
          <w:numId w:val="5"/>
        </w:numPr>
        <w:ind w:left="1134" w:hanging="708"/>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126900">
      <w:pPr>
        <w:pStyle w:val="Odstavecseseznamem"/>
        <w:numPr>
          <w:ilvl w:val="1"/>
          <w:numId w:val="5"/>
        </w:numPr>
        <w:ind w:left="1134" w:hanging="708"/>
        <w:contextualSpacing w:val="0"/>
        <w:rPr>
          <w:noProof/>
        </w:rPr>
      </w:pPr>
      <w:r w:rsidRPr="00904508">
        <w:rPr>
          <w:noProof/>
        </w:rPr>
        <w:lastRenderedPageBreak/>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126900">
      <w:pPr>
        <w:pStyle w:val="Odstavecseseznamem"/>
        <w:numPr>
          <w:ilvl w:val="1"/>
          <w:numId w:val="5"/>
        </w:numPr>
        <w:ind w:left="1134" w:hanging="708"/>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126900">
      <w:pPr>
        <w:pStyle w:val="Odstavecseseznamem"/>
        <w:numPr>
          <w:ilvl w:val="1"/>
          <w:numId w:val="5"/>
        </w:numPr>
        <w:ind w:left="1134" w:hanging="708"/>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126900">
      <w:pPr>
        <w:pStyle w:val="Odstavecseseznamem"/>
        <w:numPr>
          <w:ilvl w:val="1"/>
          <w:numId w:val="5"/>
        </w:numPr>
        <w:ind w:left="1134" w:hanging="708"/>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1A4AA757" w:rsidR="0054209E" w:rsidRDefault="0054209E" w:rsidP="00126900">
      <w:pPr>
        <w:pStyle w:val="Odstavecseseznamem"/>
        <w:numPr>
          <w:ilvl w:val="1"/>
          <w:numId w:val="5"/>
        </w:numPr>
        <w:ind w:left="1134" w:hanging="708"/>
        <w:contextualSpacing w:val="0"/>
        <w:outlineLvl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A4311E">
        <w:rPr>
          <w:noProof/>
        </w:rPr>
        <w:t>výši 1</w:t>
      </w:r>
      <w:r w:rsidR="007C3350">
        <w:rPr>
          <w:noProof/>
        </w:rPr>
        <w:t>0</w:t>
      </w:r>
      <w:r w:rsidRPr="00A4311E">
        <w:rPr>
          <w:noProof/>
        </w:rPr>
        <w:t>% z</w:t>
      </w:r>
      <w:r w:rsidRPr="007B581F">
        <w:rPr>
          <w:noProof/>
        </w:rPr>
        <w:t xml:space="preserve"> celkové smluvní ceny za každého takového </w:t>
      </w:r>
      <w:r>
        <w:rPr>
          <w:noProof/>
        </w:rPr>
        <w:t>poddod</w:t>
      </w:r>
      <w:r w:rsidRPr="007B581F">
        <w:rPr>
          <w:noProof/>
        </w:rPr>
        <w:t>avatele.</w:t>
      </w:r>
    </w:p>
    <w:p w14:paraId="38E443E1" w14:textId="0056A78D" w:rsidR="00E87E3F" w:rsidRDefault="00E87E3F" w:rsidP="00126900">
      <w:pPr>
        <w:pStyle w:val="Odstavecseseznamem"/>
        <w:numPr>
          <w:ilvl w:val="1"/>
          <w:numId w:val="5"/>
        </w:numPr>
        <w:ind w:left="1134" w:hanging="708"/>
        <w:rPr>
          <w:noProof/>
        </w:rPr>
      </w:pPr>
      <w:r>
        <w:rPr>
          <w:noProof/>
        </w:rPr>
        <w:t>V případě, že prodávající nesplní svoji povinnost stanovenou Smlouvou udržovat po</w:t>
      </w:r>
      <w:r w:rsidR="00126900">
        <w:rPr>
          <w:noProof/>
        </w:rPr>
        <w:t xml:space="preserve"> </w:t>
      </w:r>
      <w:r>
        <w:rPr>
          <w:noProof/>
        </w:rPr>
        <w:t>celou dobu provádění Díla v platnosti kupujícím vyžadované pojistné smlouvy</w:t>
      </w:r>
    </w:p>
    <w:p w14:paraId="280CE7AE" w14:textId="6827D342" w:rsidR="00E87E3F" w:rsidRDefault="00E87E3F" w:rsidP="00126900">
      <w:pPr>
        <w:pStyle w:val="Odstavecseseznamem"/>
        <w:ind w:left="1134"/>
        <w:rPr>
          <w:noProof/>
        </w:rPr>
      </w:pPr>
      <w:r>
        <w:rPr>
          <w:noProof/>
        </w:rPr>
        <w:t>anebo nepředloží kupujícímu k prokázání splnění této své povinnosti stanovené</w:t>
      </w:r>
    </w:p>
    <w:p w14:paraId="1220C8FE" w14:textId="3BD8C89F" w:rsidR="00E87E3F" w:rsidRDefault="00E87E3F" w:rsidP="00126900">
      <w:pPr>
        <w:pStyle w:val="Odstavecseseznamem"/>
        <w:ind w:left="1134"/>
        <w:rPr>
          <w:noProof/>
        </w:rPr>
      </w:pPr>
      <w:r>
        <w:rPr>
          <w:noProof/>
        </w:rPr>
        <w:t>doklady, je prodávající povinen uhradit kupujícímu smluvní pokutu ve výši 0,02%</w:t>
      </w:r>
    </w:p>
    <w:p w14:paraId="2E89A40F" w14:textId="6503129B" w:rsidR="00E87E3F" w:rsidRDefault="00E87E3F" w:rsidP="00126900">
      <w:pPr>
        <w:pStyle w:val="Odstavecseseznamem"/>
        <w:ind w:left="1134"/>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177252E1" w:rsidR="005C1599" w:rsidRDefault="005C1599" w:rsidP="006510C5">
      <w:pPr>
        <w:pStyle w:val="Odstavecseseznamem"/>
        <w:numPr>
          <w:ilvl w:val="0"/>
          <w:numId w:val="8"/>
        </w:numPr>
        <w:ind w:left="709" w:hanging="709"/>
        <w:rPr>
          <w:b/>
          <w:noProof/>
          <w:sz w:val="24"/>
          <w:szCs w:val="24"/>
        </w:rPr>
      </w:pPr>
      <w:r>
        <w:rPr>
          <w:b/>
          <w:noProof/>
          <w:sz w:val="24"/>
          <w:szCs w:val="24"/>
        </w:rPr>
        <w:t>Stř</w:t>
      </w:r>
      <w:r w:rsidR="00EE77E4">
        <w:rPr>
          <w:b/>
          <w:noProof/>
          <w:sz w:val="24"/>
          <w:szCs w:val="24"/>
        </w:rPr>
        <w:t>et zájmů, povinnosti prodávajícího</w:t>
      </w:r>
      <w:r>
        <w:rPr>
          <w:b/>
          <w:noProof/>
          <w:sz w:val="24"/>
          <w:szCs w:val="24"/>
        </w:rPr>
        <w:t xml:space="preserve"> v souvisloti s konfliktem na Ukrajině</w:t>
      </w:r>
    </w:p>
    <w:p w14:paraId="55E2EC22" w14:textId="56781630" w:rsidR="005C1599" w:rsidRDefault="006510C5" w:rsidP="00526A2C">
      <w:pPr>
        <w:pStyle w:val="slovanseznam2"/>
        <w:numPr>
          <w:ilvl w:val="1"/>
          <w:numId w:val="8"/>
        </w:numPr>
        <w:tabs>
          <w:tab w:val="clear" w:pos="1361"/>
          <w:tab w:val="left" w:pos="1134"/>
        </w:tabs>
        <w:spacing w:after="120"/>
        <w:ind w:left="1134" w:hanging="709"/>
      </w:pPr>
      <w:proofErr w:type="gramStart"/>
      <w:r>
        <w:rPr>
          <w:rFonts w:eastAsia="Calibri"/>
        </w:rPr>
        <w:t>Prodávající</w:t>
      </w:r>
      <w:proofErr w:type="gramEnd"/>
      <w:r w:rsidR="005C1599" w:rsidRPr="0073792E">
        <w:t xml:space="preserve"> prohlašuje, že není obchodní společností, ve které ve</w:t>
      </w:r>
      <w:r w:rsidR="005C1599">
        <w:t xml:space="preserve">řejný funkcionář uvedený v </w:t>
      </w:r>
      <w:proofErr w:type="spellStart"/>
      <w:proofErr w:type="gramStart"/>
      <w:r w:rsidR="005C1599">
        <w:t>ust</w:t>
      </w:r>
      <w:proofErr w:type="spellEnd"/>
      <w:r w:rsidR="005C1599">
        <w:t>.</w:t>
      </w:r>
      <w:proofErr w:type="gramEnd"/>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2D70CF0C" w14:textId="7AE8658E" w:rsidR="005C1599" w:rsidRPr="0029677D" w:rsidRDefault="006510C5" w:rsidP="00126900">
      <w:pPr>
        <w:pStyle w:val="slovanseznam2"/>
        <w:numPr>
          <w:ilvl w:val="1"/>
          <w:numId w:val="8"/>
        </w:numPr>
        <w:tabs>
          <w:tab w:val="clear" w:pos="1361"/>
          <w:tab w:val="left" w:pos="1134"/>
        </w:tabs>
        <w:spacing w:before="120" w:after="120"/>
        <w:ind w:left="1134" w:hanging="708"/>
      </w:pPr>
      <w:r>
        <w:t>Prodávající</w:t>
      </w:r>
      <w:r w:rsidR="005C1599" w:rsidRPr="0029677D">
        <w:t xml:space="preserve"> prohlašuje, že on, ani žádný z jeho poddodavatelů nebo jiných osob, jejichž způsobilost byla využita ve smyslu evropských směrnic o zadávání veřejných zakázek, nejsou osobami:</w:t>
      </w:r>
    </w:p>
    <w:p w14:paraId="5BC3D7A0" w14:textId="77777777" w:rsidR="005C1599" w:rsidRPr="0029677D" w:rsidRDefault="005C1599" w:rsidP="005C1599">
      <w:pPr>
        <w:pStyle w:val="slovanseznam3"/>
        <w:numPr>
          <w:ilvl w:val="2"/>
          <w:numId w:val="8"/>
        </w:numPr>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w:t>
      </w:r>
      <w:r w:rsidRPr="0029677D">
        <w:lastRenderedPageBreak/>
        <w:t xml:space="preserve">písm. g až i), článků 29 a 30 směrnice 2014/25/EU a čl. 13 písm. a) až d), f) až h) a j) směrnice 2009/81/EC, </w:t>
      </w:r>
    </w:p>
    <w:p w14:paraId="37DF4ACD" w14:textId="1A5E9BED" w:rsidR="005C1599" w:rsidRDefault="006510C5" w:rsidP="00126900">
      <w:pPr>
        <w:pStyle w:val="slovanseznam2"/>
        <w:numPr>
          <w:ilvl w:val="1"/>
          <w:numId w:val="8"/>
        </w:numPr>
        <w:tabs>
          <w:tab w:val="clear" w:pos="1361"/>
          <w:tab w:val="left" w:pos="1134"/>
        </w:tabs>
        <w:spacing w:before="120" w:after="120"/>
        <w:ind w:left="1134" w:hanging="708"/>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19B0A405" w:rsidR="005C1599" w:rsidRDefault="00063457" w:rsidP="00126900">
      <w:pPr>
        <w:pStyle w:val="slovanseznam2"/>
        <w:numPr>
          <w:ilvl w:val="1"/>
          <w:numId w:val="8"/>
        </w:numPr>
        <w:tabs>
          <w:tab w:val="clear" w:pos="1361"/>
          <w:tab w:val="left" w:pos="1134"/>
        </w:tabs>
        <w:spacing w:before="120" w:after="120"/>
        <w:ind w:left="1134" w:hanging="708"/>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126900">
      <w:pPr>
        <w:pStyle w:val="slovanseznam2"/>
        <w:numPr>
          <w:ilvl w:val="1"/>
          <w:numId w:val="8"/>
        </w:numPr>
        <w:tabs>
          <w:tab w:val="clear" w:pos="1361"/>
          <w:tab w:val="left" w:pos="1134"/>
        </w:tabs>
        <w:ind w:left="1134" w:hanging="708"/>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414A4A21" w:rsidR="005C1599" w:rsidRDefault="00063457" w:rsidP="00126900">
      <w:pPr>
        <w:pStyle w:val="slovanseznam2"/>
        <w:numPr>
          <w:ilvl w:val="1"/>
          <w:numId w:val="8"/>
        </w:numPr>
        <w:tabs>
          <w:tab w:val="clear" w:pos="1361"/>
          <w:tab w:val="left" w:pos="1134"/>
        </w:tabs>
        <w:ind w:left="1134" w:hanging="708"/>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orgánům s nimi spojeným uvedeným v Sankčních seznamech, nebo v jejich prospěch.</w:t>
      </w:r>
    </w:p>
    <w:p w14:paraId="56F4307F" w14:textId="77777777" w:rsidR="005C1599" w:rsidRPr="0029677D" w:rsidRDefault="005C1599" w:rsidP="005C1599">
      <w:pPr>
        <w:pStyle w:val="slovanseznam2"/>
        <w:numPr>
          <w:ilvl w:val="0"/>
          <w:numId w:val="0"/>
        </w:numPr>
      </w:pPr>
    </w:p>
    <w:p w14:paraId="70F56F92" w14:textId="7A25CEE3" w:rsidR="005C1599" w:rsidRPr="0029677D" w:rsidRDefault="005C1599" w:rsidP="00126900">
      <w:pPr>
        <w:pStyle w:val="slovanseznam2"/>
        <w:numPr>
          <w:ilvl w:val="1"/>
          <w:numId w:val="8"/>
        </w:numPr>
        <w:tabs>
          <w:tab w:val="clear" w:pos="1361"/>
          <w:tab w:val="left" w:pos="1134"/>
        </w:tabs>
        <w:ind w:left="1134" w:hanging="708"/>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proofErr w:type="gramStart"/>
      <w:r w:rsidR="00063457">
        <w:t>10</w:t>
      </w:r>
      <w:r w:rsidRPr="0029677D">
        <w:t>.4. nebo</w:t>
      </w:r>
      <w:proofErr w:type="gramEnd"/>
      <w:r w:rsidRPr="0029677D">
        <w:t xml:space="preserve">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w:t>
      </w:r>
      <w:r w:rsidRPr="00A4311E">
        <w:t xml:space="preserve">výši </w:t>
      </w:r>
      <w:r w:rsidR="007C3350">
        <w:t>10</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B156BF6" w14:textId="77777777" w:rsidR="005C1599" w:rsidRDefault="005C1599"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126900">
      <w:pPr>
        <w:pStyle w:val="Odstavecseseznamem"/>
        <w:numPr>
          <w:ilvl w:val="1"/>
          <w:numId w:val="8"/>
        </w:numPr>
        <w:ind w:left="1134" w:hanging="708"/>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65A8">
      <w:pPr>
        <w:numPr>
          <w:ilvl w:val="1"/>
          <w:numId w:val="8"/>
        </w:numPr>
        <w:ind w:left="1078" w:hanging="652"/>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126900">
      <w:pPr>
        <w:numPr>
          <w:ilvl w:val="1"/>
          <w:numId w:val="8"/>
        </w:numPr>
        <w:tabs>
          <w:tab w:val="left" w:pos="420"/>
        </w:tabs>
        <w:ind w:left="1078" w:hanging="652"/>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126900">
      <w:pPr>
        <w:numPr>
          <w:ilvl w:val="1"/>
          <w:numId w:val="8"/>
        </w:numPr>
        <w:ind w:left="1078" w:hanging="652"/>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126900">
      <w:pPr>
        <w:pStyle w:val="Odstavecseseznamem"/>
        <w:numPr>
          <w:ilvl w:val="1"/>
          <w:numId w:val="8"/>
        </w:numPr>
        <w:ind w:left="1078" w:hanging="652"/>
        <w:contextualSpacing w:val="0"/>
        <w:rPr>
          <w:noProof/>
        </w:rPr>
      </w:pPr>
      <w:r w:rsidRPr="001B0C05">
        <w:rPr>
          <w:noProof/>
        </w:rPr>
        <w:lastRenderedPageBreak/>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126900">
      <w:pPr>
        <w:pStyle w:val="Odstavecseseznamem"/>
        <w:numPr>
          <w:ilvl w:val="1"/>
          <w:numId w:val="8"/>
        </w:numPr>
        <w:tabs>
          <w:tab w:val="left" w:pos="624"/>
        </w:tabs>
        <w:ind w:left="1078" w:hanging="652"/>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BA4D98" w:rsidRDefault="00BA4D98" w:rsidP="005665A8">
      <w:pPr>
        <w:pStyle w:val="Odstavecseseznamem"/>
        <w:numPr>
          <w:ilvl w:val="1"/>
          <w:numId w:val="8"/>
        </w:numPr>
        <w:tabs>
          <w:tab w:val="left" w:pos="426"/>
        </w:tabs>
        <w:ind w:left="1134" w:hanging="708"/>
        <w:rPr>
          <w:noProof/>
        </w:rPr>
      </w:pPr>
      <w:r>
        <w:rPr>
          <w:noProof/>
        </w:rPr>
        <w:t>Prodávající</w:t>
      </w:r>
      <w:r w:rsidRPr="00BA4D98">
        <w:rPr>
          <w:noProof/>
        </w:rPr>
        <w:t xml:space="preserve"> je povinen </w:t>
      </w:r>
      <w:r w:rsidRPr="007C3350">
        <w:rPr>
          <w:noProof/>
        </w:rPr>
        <w:t xml:space="preserve">do pěti (5) dnů ode dne nabytí účinnosti Smlouvy předložit kupujícímu pojištění uvedená v </w:t>
      </w:r>
      <w:r w:rsidRPr="001A4233">
        <w:rPr>
          <w:noProof/>
        </w:rPr>
        <w:t>příloze č. 6</w:t>
      </w:r>
      <w:r w:rsidRPr="007C3350">
        <w:rPr>
          <w:noProof/>
        </w:rPr>
        <w:t xml:space="preserve"> Smlouvy a tato bude udržovat v platnosti po celou dobu trvání Smlouvy a na výzvu kupujícího kdykoli prokáže kupujícímu existenci pojištění uvedeného v </w:t>
      </w:r>
      <w:r w:rsidRPr="001A4233">
        <w:rPr>
          <w:noProof/>
        </w:rPr>
        <w:t>příloze č. 6</w:t>
      </w:r>
      <w:r w:rsidRPr="007C3350">
        <w:rPr>
          <w:noProof/>
        </w:rPr>
        <w:t xml:space="preserve"> Smlouvy</w:t>
      </w:r>
      <w:r w:rsidRPr="00BA4D98">
        <w:rPr>
          <w:noProof/>
        </w:rPr>
        <w:t xml:space="preserve"> doložením příslušných smluv či písemných potvrzení.</w:t>
      </w:r>
    </w:p>
    <w:p w14:paraId="647CDB20" w14:textId="1CF9FC51" w:rsidR="00C75CE5" w:rsidRPr="001F274F" w:rsidRDefault="00C75CE5" w:rsidP="005665A8">
      <w:pPr>
        <w:numPr>
          <w:ilvl w:val="1"/>
          <w:numId w:val="8"/>
        </w:numPr>
        <w:spacing w:after="120"/>
        <w:ind w:left="1078" w:hanging="652"/>
        <w:rPr>
          <w:rFonts w:ascii="Verdana" w:eastAsia="Verdana" w:hAnsi="Verdana" w:cs="Times New Roman"/>
          <w:noProof/>
        </w:rPr>
      </w:pPr>
      <w:r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Pr="001F274F">
        <w:rPr>
          <w:rFonts w:ascii="Verdana" w:eastAsia="Verdana" w:hAnsi="Verdana" w:cs="Times New Roman"/>
          <w:noProof/>
        </w:rPr>
        <w:t xml:space="preserve"> smlouvy. Ke změně údajů uvedených v čl. 1 </w:t>
      </w:r>
      <w:r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Pr="004C663A">
        <w:rPr>
          <w:rFonts w:ascii="Verdana" w:eastAsia="Verdana" w:hAnsi="Verdana" w:cs="Times New Roman"/>
          <w:noProof/>
        </w:rPr>
        <w:t>,</w:t>
      </w:r>
      <w:r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72EDBFF1" w:rsidR="0054209E" w:rsidRPr="001F274F" w:rsidRDefault="0079518D" w:rsidP="005665A8">
      <w:pPr>
        <w:numPr>
          <w:ilvl w:val="1"/>
          <w:numId w:val="8"/>
        </w:numPr>
        <w:spacing w:after="120"/>
        <w:ind w:left="1078" w:hanging="652"/>
        <w:rPr>
          <w:rFonts w:ascii="Verdana" w:eastAsia="Verdana" w:hAnsi="Verdana" w:cs="Times New Roman"/>
          <w:noProof/>
        </w:rPr>
      </w:pPr>
      <w:r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695E761" w:rsidR="0054209E" w:rsidRPr="001F274F" w:rsidRDefault="0054209E" w:rsidP="005665A8">
      <w:pPr>
        <w:numPr>
          <w:ilvl w:val="1"/>
          <w:numId w:val="8"/>
        </w:numPr>
        <w:tabs>
          <w:tab w:val="left" w:pos="1134"/>
        </w:tabs>
        <w:spacing w:after="120"/>
        <w:ind w:left="1078" w:hanging="652"/>
        <w:rPr>
          <w:rFonts w:ascii="Verdana" w:eastAsia="Verdana" w:hAnsi="Verdana" w:cs="Times New Roman"/>
          <w:noProof/>
        </w:rPr>
      </w:pPr>
      <w:r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49EC1D78" w:rsidR="0054209E" w:rsidRPr="001F274F" w:rsidRDefault="0054209E" w:rsidP="005665A8">
      <w:pPr>
        <w:numPr>
          <w:ilvl w:val="1"/>
          <w:numId w:val="8"/>
        </w:numPr>
        <w:tabs>
          <w:tab w:val="left" w:pos="1276"/>
        </w:tabs>
        <w:spacing w:after="120"/>
        <w:ind w:left="1078" w:hanging="652"/>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5665A8">
      <w:pPr>
        <w:numPr>
          <w:ilvl w:val="1"/>
          <w:numId w:val="8"/>
        </w:numPr>
        <w:spacing w:after="120"/>
        <w:ind w:left="1078" w:hanging="652"/>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65A8">
      <w:pPr>
        <w:numPr>
          <w:ilvl w:val="1"/>
          <w:numId w:val="8"/>
        </w:numPr>
        <w:ind w:left="1078" w:hanging="652"/>
        <w:rPr>
          <w:rFonts w:ascii="Verdana" w:eastAsia="Verdana" w:hAnsi="Verdana" w:cs="Times New Roman"/>
          <w:noProof/>
        </w:rPr>
      </w:pPr>
      <w:r w:rsidRPr="001F274F">
        <w:rPr>
          <w:rFonts w:ascii="Verdana" w:eastAsia="Verdana" w:hAnsi="Verdana" w:cs="Times New Roman"/>
          <w:noProof/>
        </w:rPr>
        <w:lastRenderedPageBreak/>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5665A8">
      <w:pPr>
        <w:numPr>
          <w:ilvl w:val="1"/>
          <w:numId w:val="8"/>
        </w:numPr>
        <w:spacing w:after="120"/>
        <w:ind w:left="1078" w:hanging="652"/>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5665A8">
      <w:pPr>
        <w:numPr>
          <w:ilvl w:val="1"/>
          <w:numId w:val="8"/>
        </w:numPr>
        <w:spacing w:after="120"/>
        <w:ind w:left="1078" w:hanging="652"/>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65A8">
      <w:pPr>
        <w:pStyle w:val="slovanseznam2"/>
        <w:numPr>
          <w:ilvl w:val="1"/>
          <w:numId w:val="8"/>
        </w:numPr>
        <w:ind w:left="1078" w:hanging="65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2" w:history="1">
        <w:r w:rsidRPr="00A85200">
          <w:rPr>
            <w:rStyle w:val="Hypertextovodkaz"/>
          </w:rPr>
          <w:t>https://www.spravazeleznic.cz/o-nas/nazadouci-jednani-a-boj-s-korupci</w:t>
        </w:r>
      </w:hyperlink>
    </w:p>
    <w:p w14:paraId="424E8182" w14:textId="10E7276F" w:rsidR="007402F5" w:rsidRPr="007402F5" w:rsidRDefault="00EE77E4" w:rsidP="005665A8">
      <w:pPr>
        <w:pStyle w:val="Odstavecseseznamem"/>
        <w:numPr>
          <w:ilvl w:val="1"/>
          <w:numId w:val="8"/>
        </w:numPr>
        <w:spacing w:before="120" w:after="0"/>
        <w:ind w:left="1134" w:hanging="708"/>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76ACB379" w:rsidR="00DE3829" w:rsidRDefault="00DE3829" w:rsidP="005665A8">
      <w:pPr>
        <w:numPr>
          <w:ilvl w:val="1"/>
          <w:numId w:val="8"/>
        </w:numPr>
        <w:spacing w:before="120" w:after="120"/>
        <w:ind w:left="1078" w:hanging="652"/>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5A6E318D" w14:textId="462FC472" w:rsidR="002B29B9" w:rsidRDefault="002B29B9" w:rsidP="002B29B9">
      <w:pPr>
        <w:spacing w:before="120" w:after="120"/>
        <w:rPr>
          <w:rFonts w:ascii="Verdana" w:eastAsia="Verdana" w:hAnsi="Verdana" w:cs="Times New Roman"/>
          <w:noProof/>
        </w:rPr>
      </w:pPr>
    </w:p>
    <w:p w14:paraId="319015EB" w14:textId="77777777" w:rsidR="002B29B9" w:rsidRDefault="002B29B9" w:rsidP="002B29B9">
      <w:pPr>
        <w:spacing w:before="120" w:after="120"/>
        <w:rPr>
          <w:rFonts w:ascii="Verdana" w:eastAsia="Verdana" w:hAnsi="Verdana" w:cs="Times New Roman"/>
          <w:noProof/>
        </w:rPr>
      </w:pPr>
    </w:p>
    <w:p w14:paraId="44FE9165" w14:textId="77777777" w:rsidR="002B29B9" w:rsidRPr="001F274F" w:rsidRDefault="002B29B9" w:rsidP="002B29B9">
      <w:pPr>
        <w:spacing w:before="120" w:after="120"/>
        <w:rPr>
          <w:rFonts w:ascii="Verdana" w:eastAsia="Verdana" w:hAnsi="Verdana" w:cs="Times New Roman"/>
          <w:noProof/>
        </w:rPr>
      </w:pPr>
    </w:p>
    <w:p w14:paraId="6B2874BC" w14:textId="77777777" w:rsidR="007063C7" w:rsidRPr="004C663A"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7353AD">
        <w:rPr>
          <w:rFonts w:asciiTheme="minorHAnsi" w:hAnsiTheme="minorHAnsi" w:cs="Times New Roman"/>
          <w:sz w:val="18"/>
          <w:szCs w:val="18"/>
        </w:rPr>
        <w:lastRenderedPageBreak/>
        <w:t>Příloha č. 1:</w:t>
      </w:r>
      <w:r w:rsidRPr="007353AD">
        <w:rPr>
          <w:rFonts w:asciiTheme="minorHAnsi" w:hAnsiTheme="minorHAnsi" w:cs="Times New Roman"/>
          <w:sz w:val="18"/>
          <w:szCs w:val="18"/>
        </w:rPr>
        <w:tab/>
      </w:r>
      <w:r w:rsidR="007353AD" w:rsidRPr="007353AD">
        <w:rPr>
          <w:rFonts w:asciiTheme="minorHAnsi" w:hAnsiTheme="minorHAnsi" w:cs="Times New Roman"/>
          <w:sz w:val="18"/>
          <w:szCs w:val="18"/>
        </w:rPr>
        <w:t xml:space="preserve">Nabídkový ceník </w:t>
      </w:r>
    </w:p>
    <w:p w14:paraId="0A1344C7" w14:textId="77777777" w:rsidR="007063C7" w:rsidRPr="00A4311E" w:rsidRDefault="007063C7" w:rsidP="007063C7">
      <w:pPr>
        <w:pStyle w:val="BodyText31"/>
        <w:tabs>
          <w:tab w:val="clear" w:pos="2268"/>
          <w:tab w:val="clear" w:pos="4536"/>
        </w:tabs>
        <w:ind w:left="420"/>
        <w:jc w:val="left"/>
        <w:rPr>
          <w:rFonts w:asciiTheme="minorHAnsi" w:hAnsiTheme="minorHAnsi"/>
          <w:sz w:val="18"/>
          <w:szCs w:val="18"/>
        </w:rPr>
      </w:pPr>
      <w:r w:rsidRPr="00A4311E">
        <w:rPr>
          <w:rFonts w:asciiTheme="minorHAnsi" w:hAnsiTheme="minorHAnsi" w:cs="Times New Roman"/>
          <w:sz w:val="18"/>
          <w:szCs w:val="18"/>
        </w:rPr>
        <w:t>Příloha č. 2:</w:t>
      </w:r>
      <w:r w:rsidRPr="00A4311E">
        <w:rPr>
          <w:rFonts w:asciiTheme="minorHAnsi" w:hAnsiTheme="minorHAnsi" w:cs="Times New Roman"/>
          <w:sz w:val="18"/>
          <w:szCs w:val="18"/>
        </w:rPr>
        <w:tab/>
      </w:r>
      <w:r w:rsidRPr="00A4311E">
        <w:rPr>
          <w:rFonts w:asciiTheme="minorHAnsi" w:hAnsiTheme="minorHAnsi"/>
          <w:sz w:val="18"/>
          <w:szCs w:val="18"/>
        </w:rPr>
        <w:t>Oprávněné osoby</w:t>
      </w:r>
      <w:r w:rsidRPr="00A4311E" w:rsidDel="000710A8">
        <w:rPr>
          <w:rFonts w:asciiTheme="minorHAnsi" w:hAnsiTheme="minorHAnsi"/>
          <w:sz w:val="18"/>
          <w:szCs w:val="18"/>
        </w:rPr>
        <w:t xml:space="preserve"> </w:t>
      </w:r>
    </w:p>
    <w:p w14:paraId="26E5D54B" w14:textId="2AEEC1FE" w:rsidR="007063C7" w:rsidRPr="00A4311E" w:rsidRDefault="001A64D1" w:rsidP="007063C7">
      <w:pPr>
        <w:pStyle w:val="BodyText31"/>
        <w:tabs>
          <w:tab w:val="clear" w:pos="2268"/>
          <w:tab w:val="clear" w:pos="4536"/>
        </w:tabs>
        <w:ind w:left="420"/>
        <w:jc w:val="left"/>
        <w:rPr>
          <w:rFonts w:asciiTheme="minorHAnsi" w:hAnsiTheme="minorHAnsi"/>
          <w:sz w:val="18"/>
          <w:szCs w:val="18"/>
        </w:rPr>
      </w:pPr>
      <w:r w:rsidRPr="00A4311E">
        <w:rPr>
          <w:rFonts w:asciiTheme="minorHAnsi" w:hAnsiTheme="minorHAnsi" w:cs="Times New Roman"/>
          <w:sz w:val="18"/>
          <w:szCs w:val="18"/>
        </w:rPr>
        <w:t>Příloha č. 3</w:t>
      </w:r>
      <w:r w:rsidR="007063C7" w:rsidRPr="00A4311E">
        <w:rPr>
          <w:rFonts w:asciiTheme="minorHAnsi" w:hAnsiTheme="minorHAnsi" w:cs="Times New Roman"/>
          <w:sz w:val="18"/>
          <w:szCs w:val="18"/>
        </w:rPr>
        <w:t>:</w:t>
      </w:r>
      <w:r w:rsidR="007063C7" w:rsidRPr="00A4311E">
        <w:rPr>
          <w:rFonts w:asciiTheme="minorHAnsi" w:hAnsiTheme="minorHAnsi" w:cs="Times New Roman"/>
          <w:sz w:val="18"/>
          <w:szCs w:val="18"/>
        </w:rPr>
        <w:tab/>
      </w:r>
      <w:r w:rsidR="007063C7" w:rsidRPr="00A4311E">
        <w:rPr>
          <w:rFonts w:asciiTheme="minorHAnsi" w:hAnsiTheme="minorHAnsi"/>
          <w:sz w:val="18"/>
          <w:szCs w:val="18"/>
        </w:rPr>
        <w:t>Seznam poddodavatelů</w:t>
      </w:r>
      <w:r w:rsidR="007063C7" w:rsidRPr="00A4311E" w:rsidDel="000710A8">
        <w:rPr>
          <w:rFonts w:asciiTheme="minorHAnsi" w:hAnsiTheme="minorHAnsi"/>
          <w:sz w:val="18"/>
          <w:szCs w:val="18"/>
        </w:rPr>
        <w:t xml:space="preserve"> </w:t>
      </w:r>
    </w:p>
    <w:p w14:paraId="2494FEDF" w14:textId="05565C9C" w:rsidR="007402F5" w:rsidRPr="00A4311E" w:rsidRDefault="007402F5" w:rsidP="007063C7">
      <w:pPr>
        <w:pStyle w:val="BodyText31"/>
        <w:tabs>
          <w:tab w:val="clear" w:pos="2268"/>
          <w:tab w:val="clear" w:pos="4536"/>
        </w:tabs>
        <w:ind w:left="420"/>
        <w:jc w:val="left"/>
        <w:rPr>
          <w:rFonts w:asciiTheme="minorHAnsi" w:hAnsiTheme="minorHAnsi"/>
          <w:sz w:val="18"/>
          <w:szCs w:val="18"/>
        </w:rPr>
      </w:pPr>
      <w:r w:rsidRPr="00A4311E">
        <w:rPr>
          <w:rFonts w:asciiTheme="minorHAnsi" w:hAnsiTheme="minorHAnsi"/>
          <w:sz w:val="18"/>
          <w:szCs w:val="18"/>
        </w:rPr>
        <w:t>Příloha č. 4:</w:t>
      </w:r>
      <w:r w:rsidRPr="00A4311E">
        <w:rPr>
          <w:rFonts w:asciiTheme="minorHAnsi" w:hAnsiTheme="minorHAnsi"/>
          <w:sz w:val="18"/>
          <w:szCs w:val="18"/>
        </w:rPr>
        <w:tab/>
        <w:t>Opatření pro postup v případě anonymního oznámení o NVS</w:t>
      </w:r>
    </w:p>
    <w:p w14:paraId="5D2B82D8" w14:textId="0A62F67E" w:rsidR="00D50B02" w:rsidRDefault="00D50B02" w:rsidP="007063C7">
      <w:pPr>
        <w:pStyle w:val="BodyText31"/>
        <w:tabs>
          <w:tab w:val="clear" w:pos="2268"/>
          <w:tab w:val="clear" w:pos="4536"/>
        </w:tabs>
        <w:ind w:left="420"/>
        <w:jc w:val="left"/>
        <w:rPr>
          <w:rFonts w:asciiTheme="minorHAnsi" w:hAnsiTheme="minorHAnsi"/>
          <w:sz w:val="18"/>
          <w:szCs w:val="18"/>
        </w:rPr>
      </w:pPr>
      <w:r w:rsidRPr="00A4311E">
        <w:rPr>
          <w:rFonts w:asciiTheme="minorHAnsi" w:hAnsiTheme="minorHAnsi"/>
          <w:sz w:val="18"/>
          <w:szCs w:val="18"/>
        </w:rPr>
        <w:t>Příloha č. 5:</w:t>
      </w:r>
      <w:r w:rsidRPr="00A4311E">
        <w:rPr>
          <w:rFonts w:asciiTheme="minorHAnsi" w:hAnsiTheme="minorHAnsi"/>
          <w:sz w:val="18"/>
          <w:szCs w:val="18"/>
        </w:rPr>
        <w:tab/>
        <w:t>Analýza nebezpečí a hodnocení rizik</w:t>
      </w:r>
    </w:p>
    <w:p w14:paraId="1196FE57" w14:textId="16639700" w:rsidR="00BA4D98" w:rsidRPr="007C3350" w:rsidRDefault="00BA4D98" w:rsidP="007063C7">
      <w:pPr>
        <w:pStyle w:val="BodyText31"/>
        <w:tabs>
          <w:tab w:val="clear" w:pos="2268"/>
          <w:tab w:val="clear" w:pos="4536"/>
        </w:tabs>
        <w:ind w:left="420"/>
        <w:jc w:val="left"/>
        <w:rPr>
          <w:rFonts w:asciiTheme="minorHAnsi" w:hAnsiTheme="minorHAnsi"/>
          <w:sz w:val="18"/>
          <w:szCs w:val="18"/>
        </w:rPr>
      </w:pPr>
      <w:r w:rsidRPr="001A4233">
        <w:rPr>
          <w:rFonts w:asciiTheme="minorHAnsi" w:hAnsiTheme="minorHAnsi"/>
          <w:sz w:val="18"/>
          <w:szCs w:val="18"/>
        </w:rPr>
        <w:t>Příloha č. 6:</w:t>
      </w:r>
      <w:r w:rsidRPr="001A4233">
        <w:rPr>
          <w:rFonts w:asciiTheme="minorHAnsi" w:hAnsiTheme="minorHAnsi"/>
          <w:sz w:val="18"/>
          <w:szCs w:val="18"/>
        </w:rPr>
        <w:tab/>
        <w:t>Seznam požadovaných pojištění</w:t>
      </w:r>
    </w:p>
    <w:p w14:paraId="05A4A841" w14:textId="0FCBED98" w:rsidR="001753A9" w:rsidRDefault="001753A9" w:rsidP="007063C7">
      <w:pPr>
        <w:pStyle w:val="BodyText31"/>
        <w:tabs>
          <w:tab w:val="clear" w:pos="2268"/>
          <w:tab w:val="clear" w:pos="4536"/>
        </w:tabs>
        <w:ind w:left="420"/>
        <w:jc w:val="left"/>
        <w:rPr>
          <w:rFonts w:asciiTheme="minorHAnsi" w:hAnsiTheme="minorHAnsi"/>
          <w:sz w:val="18"/>
          <w:szCs w:val="18"/>
        </w:rPr>
      </w:pPr>
      <w:r w:rsidRPr="001A4233">
        <w:rPr>
          <w:rFonts w:asciiTheme="minorHAnsi" w:hAnsiTheme="minorHAnsi"/>
          <w:sz w:val="18"/>
          <w:szCs w:val="18"/>
        </w:rPr>
        <w:t>Příloha č. 7:</w:t>
      </w:r>
      <w:r w:rsidRPr="007C3350">
        <w:rPr>
          <w:rFonts w:asciiTheme="minorHAnsi" w:hAnsiTheme="minorHAnsi"/>
          <w:sz w:val="18"/>
          <w:szCs w:val="18"/>
        </w:rPr>
        <w:tab/>
        <w:t>Dodací místa</w:t>
      </w:r>
    </w:p>
    <w:p w14:paraId="1D668C81" w14:textId="0B8FBC12" w:rsidR="00A4311E" w:rsidRDefault="00A4311E" w:rsidP="007063C7">
      <w:pPr>
        <w:pStyle w:val="BodyText31"/>
        <w:tabs>
          <w:tab w:val="clear" w:pos="2268"/>
          <w:tab w:val="clear" w:pos="4536"/>
        </w:tabs>
        <w:ind w:left="420"/>
        <w:jc w:val="left"/>
        <w:rPr>
          <w:rFonts w:asciiTheme="minorHAnsi" w:hAnsiTheme="minorHAnsi"/>
          <w:sz w:val="18"/>
          <w:szCs w:val="18"/>
        </w:rPr>
      </w:pPr>
    </w:p>
    <w:p w14:paraId="242EC38D" w14:textId="4E28FE60" w:rsidR="00A4311E" w:rsidRDefault="00A4311E" w:rsidP="007063C7">
      <w:pPr>
        <w:pStyle w:val="BodyText31"/>
        <w:tabs>
          <w:tab w:val="clear" w:pos="2268"/>
          <w:tab w:val="clear" w:pos="4536"/>
        </w:tabs>
        <w:ind w:left="420"/>
        <w:jc w:val="left"/>
        <w:rPr>
          <w:rFonts w:asciiTheme="minorHAnsi" w:hAnsiTheme="minorHAnsi"/>
          <w:sz w:val="18"/>
          <w:szCs w:val="18"/>
        </w:rPr>
      </w:pPr>
    </w:p>
    <w:p w14:paraId="15B385B7" w14:textId="4DE764B2" w:rsidR="00A4311E" w:rsidRDefault="00A4311E" w:rsidP="007063C7">
      <w:pPr>
        <w:pStyle w:val="BodyText31"/>
        <w:tabs>
          <w:tab w:val="clear" w:pos="2268"/>
          <w:tab w:val="clear" w:pos="4536"/>
        </w:tabs>
        <w:ind w:left="420"/>
        <w:jc w:val="left"/>
        <w:rPr>
          <w:rFonts w:asciiTheme="minorHAnsi" w:hAnsiTheme="minorHAnsi"/>
          <w:sz w:val="18"/>
          <w:szCs w:val="18"/>
        </w:rPr>
      </w:pPr>
    </w:p>
    <w:p w14:paraId="410ED08A" w14:textId="07222875" w:rsidR="005C5826" w:rsidRDefault="005C5826" w:rsidP="007063C7">
      <w:pPr>
        <w:pStyle w:val="BodyText31"/>
        <w:tabs>
          <w:tab w:val="clear" w:pos="2268"/>
          <w:tab w:val="clear" w:pos="4536"/>
        </w:tabs>
        <w:ind w:left="420"/>
        <w:jc w:val="left"/>
        <w:rPr>
          <w:rFonts w:asciiTheme="minorHAnsi" w:hAnsiTheme="minorHAnsi"/>
          <w:sz w:val="18"/>
          <w:szCs w:val="18"/>
        </w:rPr>
      </w:pPr>
    </w:p>
    <w:p w14:paraId="4476C7A7" w14:textId="7890C072" w:rsidR="005C5826" w:rsidRDefault="005C5826" w:rsidP="007063C7">
      <w:pPr>
        <w:pStyle w:val="BodyText31"/>
        <w:tabs>
          <w:tab w:val="clear" w:pos="2268"/>
          <w:tab w:val="clear" w:pos="4536"/>
        </w:tabs>
        <w:ind w:left="420"/>
        <w:jc w:val="left"/>
        <w:rPr>
          <w:rFonts w:asciiTheme="minorHAnsi" w:hAnsiTheme="minorHAnsi"/>
          <w:sz w:val="18"/>
          <w:szCs w:val="18"/>
        </w:rPr>
      </w:pPr>
    </w:p>
    <w:p w14:paraId="6433BFF6" w14:textId="3155C916" w:rsidR="005C5826" w:rsidRDefault="005C5826" w:rsidP="007063C7">
      <w:pPr>
        <w:pStyle w:val="BodyText31"/>
        <w:tabs>
          <w:tab w:val="clear" w:pos="2268"/>
          <w:tab w:val="clear" w:pos="4536"/>
        </w:tabs>
        <w:ind w:left="420"/>
        <w:jc w:val="left"/>
        <w:rPr>
          <w:rFonts w:asciiTheme="minorHAnsi" w:hAnsiTheme="minorHAnsi"/>
          <w:sz w:val="18"/>
          <w:szCs w:val="18"/>
        </w:rPr>
      </w:pPr>
    </w:p>
    <w:p w14:paraId="43101BEC" w14:textId="27416ED9" w:rsidR="005C5826" w:rsidRDefault="005C5826" w:rsidP="007063C7">
      <w:pPr>
        <w:pStyle w:val="BodyText31"/>
        <w:tabs>
          <w:tab w:val="clear" w:pos="2268"/>
          <w:tab w:val="clear" w:pos="4536"/>
        </w:tabs>
        <w:ind w:left="420"/>
        <w:jc w:val="left"/>
        <w:rPr>
          <w:rFonts w:asciiTheme="minorHAnsi" w:hAnsiTheme="minorHAnsi"/>
          <w:sz w:val="18"/>
          <w:szCs w:val="18"/>
        </w:rPr>
      </w:pPr>
    </w:p>
    <w:p w14:paraId="4AEA46D6" w14:textId="5652E346" w:rsidR="00A4311E" w:rsidRDefault="00A4311E" w:rsidP="00BB5465">
      <w:pPr>
        <w:pStyle w:val="BodyText31"/>
        <w:tabs>
          <w:tab w:val="clear" w:pos="2268"/>
          <w:tab w:val="clear" w:pos="4536"/>
        </w:tabs>
        <w:jc w:val="left"/>
        <w:rPr>
          <w:rFonts w:asciiTheme="minorHAnsi" w:hAnsiTheme="minorHAnsi"/>
          <w:sz w:val="18"/>
          <w:szCs w:val="18"/>
        </w:rPr>
      </w:pPr>
    </w:p>
    <w:p w14:paraId="63BDFBC1" w14:textId="77777777" w:rsidR="00A4311E" w:rsidRDefault="00A4311E" w:rsidP="007063C7">
      <w:pPr>
        <w:pStyle w:val="BodyText31"/>
        <w:tabs>
          <w:tab w:val="clear" w:pos="2268"/>
          <w:tab w:val="clear" w:pos="4536"/>
        </w:tabs>
        <w:ind w:left="420"/>
        <w:jc w:val="left"/>
        <w:rPr>
          <w:rFonts w:asciiTheme="minorHAnsi" w:hAnsiTheme="minorHAnsi"/>
          <w:sz w:val="18"/>
          <w:szCs w:val="18"/>
        </w:rPr>
      </w:pPr>
    </w:p>
    <w:p w14:paraId="372521B6" w14:textId="6C9AF6BE" w:rsidR="008136F8" w:rsidRDefault="008136F8" w:rsidP="00380C61">
      <w:pPr>
        <w:tabs>
          <w:tab w:val="left" w:pos="5103"/>
        </w:tabs>
        <w:spacing w:before="240"/>
      </w:pPr>
      <w:r w:rsidRPr="0019340A">
        <w:t xml:space="preserve">V Praze </w:t>
      </w:r>
      <w:proofErr w:type="gramStart"/>
      <w:r w:rsidRPr="0019340A">
        <w:t xml:space="preserve">dne ............................ </w:t>
      </w:r>
      <w:r>
        <w:tab/>
      </w:r>
      <w:r>
        <w:tab/>
      </w:r>
      <w:r w:rsidR="0054209E" w:rsidRPr="0019340A">
        <w:t>V …</w:t>
      </w:r>
      <w:proofErr w:type="gramEnd"/>
      <w:r w:rsidR="0054209E" w:rsidRPr="0019340A">
        <w:t>……</w:t>
      </w:r>
      <w:r w:rsidR="00B805EB">
        <w:t>..</w:t>
      </w:r>
      <w:r w:rsidR="002E15AE">
        <w:t xml:space="preserve"> dne ………</w:t>
      </w:r>
    </w:p>
    <w:p w14:paraId="648ABD24" w14:textId="77777777" w:rsidR="00A4311E" w:rsidRDefault="00A4311E" w:rsidP="00380C61">
      <w:pPr>
        <w:tabs>
          <w:tab w:val="left" w:pos="5103"/>
        </w:tabs>
        <w:spacing w:before="240"/>
      </w:pPr>
    </w:p>
    <w:p w14:paraId="71FEADD3" w14:textId="77777777" w:rsidR="002E15AE" w:rsidRDefault="008136F8" w:rsidP="002E15AE">
      <w:pPr>
        <w:tabs>
          <w:tab w:val="left" w:pos="5103"/>
        </w:tabs>
      </w:pPr>
      <w:r w:rsidRPr="0019340A">
        <w:t>Kupující:</w:t>
      </w:r>
      <w:r>
        <w:tab/>
      </w:r>
      <w:r>
        <w:tab/>
      </w:r>
      <w:r w:rsidRPr="0019340A">
        <w:t>Prodávající:</w:t>
      </w:r>
    </w:p>
    <w:p w14:paraId="0047A9BA" w14:textId="0A1F68A8" w:rsidR="0054209E" w:rsidRPr="0019340A" w:rsidRDefault="0054209E" w:rsidP="002E15AE">
      <w:pPr>
        <w:tabs>
          <w:tab w:val="left" w:pos="5103"/>
        </w:tabs>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77777777" w:rsidR="00D50B02" w:rsidRDefault="00D50B02"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3249477D" w:rsidR="00E76DC4" w:rsidRPr="00F95FBD" w:rsidRDefault="000E6E83"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Soňa Kühnelová</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66E0CEFF" w:rsidR="00E76DC4" w:rsidRPr="00F95FBD" w:rsidRDefault="000E6E83"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1D493D45" w:rsidR="00E76DC4" w:rsidRPr="00F95FBD" w:rsidRDefault="000E6E83"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Kuhnelova@spravazeleznic.cz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5F18A6E5" w:rsidR="00E76DC4" w:rsidRPr="00F95FBD" w:rsidRDefault="000E6E83"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+420 602 435 </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1FF950B6" w:rsidR="009A0FDE" w:rsidRPr="007C3350" w:rsidRDefault="009A0FDE" w:rsidP="007C3350">
            <w:pPr>
              <w:pStyle w:val="Tabulka"/>
              <w:cnfStyle w:val="000000000000" w:firstRow="0" w:lastRow="0" w:firstColumn="0" w:lastColumn="0" w:oddVBand="0" w:evenVBand="0" w:oddHBand="0" w:evenHBand="0" w:firstRowFirstColumn="0" w:firstRowLastColumn="0" w:lastRowFirstColumn="0" w:lastRowLastColumn="0"/>
              <w:rPr>
                <w:sz w:val="18"/>
              </w:rPr>
            </w:pPr>
            <w:r w:rsidRPr="001A4233">
              <w:rPr>
                <w:rFonts w:eastAsia="Times New Roman" w:cs="Calibri"/>
                <w:sz w:val="18"/>
                <w:lang w:eastAsia="cs-CZ"/>
              </w:rPr>
              <w:t xml:space="preserve">Minimálně </w:t>
            </w:r>
            <w:r w:rsidR="007C3350" w:rsidRPr="001A4233">
              <w:rPr>
                <w:rFonts w:eastAsia="Times New Roman" w:cs="Calibri"/>
                <w:sz w:val="18"/>
                <w:lang w:eastAsia="cs-CZ"/>
              </w:rPr>
              <w:t>10 000</w:t>
            </w:r>
            <w:r w:rsidRPr="001A4233">
              <w:rPr>
                <w:rFonts w:eastAsia="Times New Roman" w:cs="Calibri"/>
                <w:color w:val="000000"/>
                <w:sz w:val="18"/>
                <w:lang w:eastAsia="cs-CZ"/>
              </w:rPr>
              <w:t xml:space="preserve"> Kč</w:t>
            </w:r>
            <w:r w:rsidRPr="001A4233">
              <w:rPr>
                <w:rFonts w:eastAsia="Times New Roman" w:cs="Calibri"/>
                <w:sz w:val="18"/>
                <w:lang w:eastAsia="cs-CZ"/>
              </w:rPr>
              <w:t xml:space="preserve"> na jednu pojistnou událost a </w:t>
            </w:r>
            <w:r w:rsidR="007C3350" w:rsidRPr="001A4233">
              <w:rPr>
                <w:rFonts w:eastAsia="Times New Roman" w:cs="Calibri"/>
                <w:sz w:val="18"/>
                <w:lang w:eastAsia="cs-CZ"/>
              </w:rPr>
              <w:t>100 000</w:t>
            </w:r>
            <w:r w:rsidRPr="001A4233">
              <w:rPr>
                <w:rFonts w:eastAsia="Times New Roman" w:cs="Calibri"/>
                <w:sz w:val="18"/>
                <w:lang w:eastAsia="cs-CZ"/>
              </w:rPr>
              <w:t xml:space="preserve"> Kč v</w:t>
            </w:r>
            <w:r w:rsidRPr="007C3350">
              <w:rPr>
                <w:rFonts w:eastAsia="Times New Roman" w:cs="Calibri"/>
                <w:sz w:val="18"/>
                <w:lang w:eastAsia="cs-CZ"/>
              </w:rPr>
              <w:t>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11831" w14:textId="77777777" w:rsidR="00337D18" w:rsidRDefault="00337D18" w:rsidP="00962258">
      <w:pPr>
        <w:spacing w:after="0" w:line="240" w:lineRule="auto"/>
      </w:pPr>
      <w:r>
        <w:separator/>
      </w:r>
    </w:p>
  </w:endnote>
  <w:endnote w:type="continuationSeparator" w:id="0">
    <w:p w14:paraId="094F8CBA" w14:textId="77777777" w:rsidR="00337D18" w:rsidRDefault="00337D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77AA1ADA"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905">
            <w:rPr>
              <w:rStyle w:val="slostrnky"/>
              <w:noProof/>
            </w:rPr>
            <w:t>10</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5A2252D4"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905">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6CD71" w14:textId="77777777" w:rsidR="00337D18" w:rsidRDefault="00337D18" w:rsidP="00962258">
      <w:pPr>
        <w:spacing w:after="0" w:line="240" w:lineRule="auto"/>
      </w:pPr>
      <w:r>
        <w:separator/>
      </w:r>
    </w:p>
  </w:footnote>
  <w:footnote w:type="continuationSeparator" w:id="0">
    <w:p w14:paraId="53DB247A" w14:textId="77777777" w:rsidR="00337D18" w:rsidRDefault="00337D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lvlOverride w:ilvl="1">
      <w:lvl w:ilvl="1">
        <w:start w:val="1"/>
        <w:numFmt w:val="decimal"/>
        <w:lvlText w:val="%1.%2"/>
        <w:lvlJc w:val="left"/>
        <w:pPr>
          <w:tabs>
            <w:tab w:val="num" w:pos="1276"/>
          </w:tabs>
          <w:ind w:left="1162" w:hanging="453"/>
        </w:pPr>
        <w:rPr>
          <w:rFonts w:hint="default"/>
          <w:b w:val="0"/>
        </w:rPr>
      </w:lvl>
    </w:lvlOverride>
    <w:lvlOverride w:ilvl="2">
      <w:lvl w:ilvl="2">
        <w:start w:val="1"/>
        <w:numFmt w:val="decimal"/>
        <w:lvlText w:val="%1.%2.%3"/>
        <w:lvlJc w:val="left"/>
        <w:pPr>
          <w:tabs>
            <w:tab w:val="num" w:pos="1843"/>
          </w:tabs>
          <w:ind w:left="1729" w:hanging="652"/>
        </w:pPr>
        <w:rPr>
          <w:rFonts w:hint="default"/>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3457"/>
    <w:rsid w:val="00067016"/>
    <w:rsid w:val="00072C1E"/>
    <w:rsid w:val="0007455F"/>
    <w:rsid w:val="0007749C"/>
    <w:rsid w:val="000B5886"/>
    <w:rsid w:val="000C1581"/>
    <w:rsid w:val="000E23A7"/>
    <w:rsid w:val="000E6E83"/>
    <w:rsid w:val="0010485C"/>
    <w:rsid w:val="0010693F"/>
    <w:rsid w:val="00114472"/>
    <w:rsid w:val="00121F1D"/>
    <w:rsid w:val="0012326F"/>
    <w:rsid w:val="00126900"/>
    <w:rsid w:val="001404D5"/>
    <w:rsid w:val="00152343"/>
    <w:rsid w:val="001550BC"/>
    <w:rsid w:val="001605B9"/>
    <w:rsid w:val="00170EC5"/>
    <w:rsid w:val="001747C1"/>
    <w:rsid w:val="001753A9"/>
    <w:rsid w:val="00184743"/>
    <w:rsid w:val="00190516"/>
    <w:rsid w:val="001A4233"/>
    <w:rsid w:val="001A64D1"/>
    <w:rsid w:val="001D7D26"/>
    <w:rsid w:val="001F274F"/>
    <w:rsid w:val="001F3C0D"/>
    <w:rsid w:val="001F764F"/>
    <w:rsid w:val="00207DF5"/>
    <w:rsid w:val="002320D1"/>
    <w:rsid w:val="00240FEF"/>
    <w:rsid w:val="002465D2"/>
    <w:rsid w:val="002471C0"/>
    <w:rsid w:val="002676A8"/>
    <w:rsid w:val="00277863"/>
    <w:rsid w:val="00280E07"/>
    <w:rsid w:val="002837CE"/>
    <w:rsid w:val="00285336"/>
    <w:rsid w:val="00292E1C"/>
    <w:rsid w:val="00292E25"/>
    <w:rsid w:val="0029755E"/>
    <w:rsid w:val="002B29B9"/>
    <w:rsid w:val="002C31BF"/>
    <w:rsid w:val="002D08B1"/>
    <w:rsid w:val="002D1090"/>
    <w:rsid w:val="002D35B8"/>
    <w:rsid w:val="002E0CD7"/>
    <w:rsid w:val="002E15AE"/>
    <w:rsid w:val="00332DBA"/>
    <w:rsid w:val="00337AA8"/>
    <w:rsid w:val="00337D18"/>
    <w:rsid w:val="00341DCF"/>
    <w:rsid w:val="00352395"/>
    <w:rsid w:val="00357BC6"/>
    <w:rsid w:val="00361C61"/>
    <w:rsid w:val="0036685B"/>
    <w:rsid w:val="00373009"/>
    <w:rsid w:val="00380C61"/>
    <w:rsid w:val="003956C6"/>
    <w:rsid w:val="003A513B"/>
    <w:rsid w:val="003F3337"/>
    <w:rsid w:val="00406A64"/>
    <w:rsid w:val="00441430"/>
    <w:rsid w:val="004451FE"/>
    <w:rsid w:val="00450F07"/>
    <w:rsid w:val="00453CD3"/>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6A2C"/>
    <w:rsid w:val="00527AD4"/>
    <w:rsid w:val="00527E94"/>
    <w:rsid w:val="0054209E"/>
    <w:rsid w:val="00553375"/>
    <w:rsid w:val="005539AE"/>
    <w:rsid w:val="00557C28"/>
    <w:rsid w:val="00564D10"/>
    <w:rsid w:val="005665A8"/>
    <w:rsid w:val="005673B9"/>
    <w:rsid w:val="005736B7"/>
    <w:rsid w:val="00575E5A"/>
    <w:rsid w:val="00583BC2"/>
    <w:rsid w:val="00597F84"/>
    <w:rsid w:val="005C1599"/>
    <w:rsid w:val="005C5826"/>
    <w:rsid w:val="005D21B3"/>
    <w:rsid w:val="005F1404"/>
    <w:rsid w:val="0061068E"/>
    <w:rsid w:val="00616923"/>
    <w:rsid w:val="006325A9"/>
    <w:rsid w:val="00636A9F"/>
    <w:rsid w:val="006510C5"/>
    <w:rsid w:val="00660AD3"/>
    <w:rsid w:val="00665905"/>
    <w:rsid w:val="00677B7F"/>
    <w:rsid w:val="00684F57"/>
    <w:rsid w:val="006A5570"/>
    <w:rsid w:val="006A689C"/>
    <w:rsid w:val="006B3D79"/>
    <w:rsid w:val="006D7AFE"/>
    <w:rsid w:val="006E0578"/>
    <w:rsid w:val="006E314D"/>
    <w:rsid w:val="007060A5"/>
    <w:rsid w:val="007063C7"/>
    <w:rsid w:val="00710723"/>
    <w:rsid w:val="007146E6"/>
    <w:rsid w:val="00716F00"/>
    <w:rsid w:val="00722071"/>
    <w:rsid w:val="00723ED1"/>
    <w:rsid w:val="00731954"/>
    <w:rsid w:val="007353AD"/>
    <w:rsid w:val="007402F5"/>
    <w:rsid w:val="00743525"/>
    <w:rsid w:val="00750688"/>
    <w:rsid w:val="00753F36"/>
    <w:rsid w:val="0076286B"/>
    <w:rsid w:val="00766846"/>
    <w:rsid w:val="00770817"/>
    <w:rsid w:val="0077633D"/>
    <w:rsid w:val="0077673A"/>
    <w:rsid w:val="007846E1"/>
    <w:rsid w:val="0078755E"/>
    <w:rsid w:val="0079518D"/>
    <w:rsid w:val="007B570C"/>
    <w:rsid w:val="007C3350"/>
    <w:rsid w:val="007C589B"/>
    <w:rsid w:val="007C5932"/>
    <w:rsid w:val="007E4A6E"/>
    <w:rsid w:val="007E5CDB"/>
    <w:rsid w:val="007F0C38"/>
    <w:rsid w:val="007F56A7"/>
    <w:rsid w:val="007F6F14"/>
    <w:rsid w:val="007F7C67"/>
    <w:rsid w:val="00807DD0"/>
    <w:rsid w:val="00811E5E"/>
    <w:rsid w:val="008136F8"/>
    <w:rsid w:val="00837F22"/>
    <w:rsid w:val="008659F3"/>
    <w:rsid w:val="0087095E"/>
    <w:rsid w:val="00874DEF"/>
    <w:rsid w:val="008802AB"/>
    <w:rsid w:val="00886D4B"/>
    <w:rsid w:val="00895406"/>
    <w:rsid w:val="008A23D8"/>
    <w:rsid w:val="008A3568"/>
    <w:rsid w:val="008D03B9"/>
    <w:rsid w:val="008E1D4E"/>
    <w:rsid w:val="008E389D"/>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971C9"/>
    <w:rsid w:val="009A0FDE"/>
    <w:rsid w:val="009B14A9"/>
    <w:rsid w:val="009B2E97"/>
    <w:rsid w:val="009B7FEC"/>
    <w:rsid w:val="009D4ED5"/>
    <w:rsid w:val="009E07F4"/>
    <w:rsid w:val="009F3193"/>
    <w:rsid w:val="009F392E"/>
    <w:rsid w:val="00A06D1A"/>
    <w:rsid w:val="00A153B5"/>
    <w:rsid w:val="00A171DE"/>
    <w:rsid w:val="00A2136C"/>
    <w:rsid w:val="00A3535C"/>
    <w:rsid w:val="00A4311E"/>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3DF5"/>
    <w:rsid w:val="00B15D0D"/>
    <w:rsid w:val="00B41164"/>
    <w:rsid w:val="00B6074B"/>
    <w:rsid w:val="00B651D0"/>
    <w:rsid w:val="00B75EE1"/>
    <w:rsid w:val="00B77481"/>
    <w:rsid w:val="00B805EB"/>
    <w:rsid w:val="00B8518B"/>
    <w:rsid w:val="00B876DB"/>
    <w:rsid w:val="00BA49C5"/>
    <w:rsid w:val="00BA4D98"/>
    <w:rsid w:val="00BB5465"/>
    <w:rsid w:val="00BD7E91"/>
    <w:rsid w:val="00C02D0A"/>
    <w:rsid w:val="00C03A6E"/>
    <w:rsid w:val="00C321BF"/>
    <w:rsid w:val="00C44F6A"/>
    <w:rsid w:val="00C463AF"/>
    <w:rsid w:val="00C47AE3"/>
    <w:rsid w:val="00C75CE5"/>
    <w:rsid w:val="00C857F6"/>
    <w:rsid w:val="00CC1957"/>
    <w:rsid w:val="00CC2A09"/>
    <w:rsid w:val="00CC7BE7"/>
    <w:rsid w:val="00CD0711"/>
    <w:rsid w:val="00CD1FC4"/>
    <w:rsid w:val="00CD24EC"/>
    <w:rsid w:val="00CF45E5"/>
    <w:rsid w:val="00CF6876"/>
    <w:rsid w:val="00D1567B"/>
    <w:rsid w:val="00D21061"/>
    <w:rsid w:val="00D31258"/>
    <w:rsid w:val="00D33A28"/>
    <w:rsid w:val="00D4049A"/>
    <w:rsid w:val="00D4108E"/>
    <w:rsid w:val="00D50B02"/>
    <w:rsid w:val="00D6163D"/>
    <w:rsid w:val="00D65DEB"/>
    <w:rsid w:val="00D7339C"/>
    <w:rsid w:val="00D73D46"/>
    <w:rsid w:val="00D7414C"/>
    <w:rsid w:val="00D831A3"/>
    <w:rsid w:val="00D92AC3"/>
    <w:rsid w:val="00DA3796"/>
    <w:rsid w:val="00DA7CC6"/>
    <w:rsid w:val="00DC75F3"/>
    <w:rsid w:val="00DD0EE1"/>
    <w:rsid w:val="00DD46F3"/>
    <w:rsid w:val="00DE3829"/>
    <w:rsid w:val="00DE56F2"/>
    <w:rsid w:val="00DF116D"/>
    <w:rsid w:val="00DF7FC6"/>
    <w:rsid w:val="00E05EC5"/>
    <w:rsid w:val="00E25867"/>
    <w:rsid w:val="00E43BD1"/>
    <w:rsid w:val="00E76DC4"/>
    <w:rsid w:val="00E87E3F"/>
    <w:rsid w:val="00E90063"/>
    <w:rsid w:val="00EB104F"/>
    <w:rsid w:val="00EB4268"/>
    <w:rsid w:val="00ED14BD"/>
    <w:rsid w:val="00EE77E4"/>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E1CF2"/>
    <w:rsid w:val="00FF0D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3CC897-21DB-4206-A233-51606E4C8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TotalTime>
  <Pages>13</Pages>
  <Words>4073</Words>
  <Characters>24033</Characters>
  <Application>Microsoft Office Word</Application>
  <DocSecurity>0</DocSecurity>
  <Lines>200</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Kalinová Jitka</cp:lastModifiedBy>
  <cp:revision>3</cp:revision>
  <cp:lastPrinted>2022-04-21T10:03:00Z</cp:lastPrinted>
  <dcterms:created xsi:type="dcterms:W3CDTF">2023-01-20T11:02:00Z</dcterms:created>
  <dcterms:modified xsi:type="dcterms:W3CDTF">2023-01-20T11:51:00Z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